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3" w:firstLineChars="200"/>
        <w:rPr>
          <w:rFonts w:asciiTheme="majorEastAsia" w:hAnsiTheme="majorEastAsia" w:eastAsiaTheme="majorEastAsia" w:cstheme="majorEastAsia"/>
          <w:b/>
          <w:sz w:val="44"/>
          <w:szCs w:val="44"/>
        </w:rPr>
      </w:pPr>
      <w:bookmarkStart w:id="0" w:name="OLE_LINK1"/>
      <w:r>
        <w:rPr>
          <w:rFonts w:hint="eastAsia" w:asciiTheme="majorEastAsia" w:hAnsiTheme="majorEastAsia" w:eastAsiaTheme="majorEastAsia" w:cstheme="majorEastAsia"/>
          <w:b/>
          <w:sz w:val="44"/>
          <w:szCs w:val="44"/>
        </w:rPr>
        <w:t>大丰区餐饮场所瓶装液化石油气转换</w:t>
      </w:r>
    </w:p>
    <w:p>
      <w:pPr>
        <w:spacing w:line="60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管道天然气工作实施方案</w:t>
      </w:r>
    </w:p>
    <w:p>
      <w:pPr>
        <w:spacing w:line="520" w:lineRule="exact"/>
        <w:jc w:val="center"/>
        <w:rPr>
          <w:rFonts w:ascii="楷体" w:hAnsi="楷体" w:eastAsia="楷体" w:cs="楷体"/>
          <w:sz w:val="32"/>
          <w:szCs w:val="32"/>
        </w:rPr>
      </w:pPr>
      <w:r>
        <w:rPr>
          <w:rFonts w:hint="eastAsia" w:ascii="楷体" w:hAnsi="楷体" w:eastAsia="楷体" w:cs="楷体"/>
          <w:sz w:val="32"/>
          <w:szCs w:val="32"/>
        </w:rPr>
        <w:t>（征求意见稿）</w:t>
      </w:r>
    </w:p>
    <w:p>
      <w:pPr>
        <w:pStyle w:val="2"/>
        <w:spacing w:beforeAutospacing="0" w:afterAutospacing="0" w:line="520" w:lineRule="exact"/>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餐饮公共场所人员密集，使用瓶装液化石油气泄漏后容易造成群死群伤的重大恶性安全事故。为全力防范和坚决遏制我区餐饮场所瓶装液化石油气泄漏爆燃事故的发生，强化燃气安全风险点的排查治理和源头管控，根据国家、省、市相关会议要求</w:t>
      </w:r>
      <w:r>
        <w:rPr>
          <w:rFonts w:hint="eastAsia" w:ascii="仿宋" w:hAnsi="仿宋" w:eastAsia="仿宋" w:cs="仿宋"/>
          <w:sz w:val="32"/>
          <w:szCs w:val="32"/>
          <w:lang w:eastAsia="zh-CN"/>
        </w:rPr>
        <w:t>、</w:t>
      </w:r>
      <w:r>
        <w:rPr>
          <w:rFonts w:hint="eastAsia" w:ascii="仿宋" w:hAnsi="仿宋" w:eastAsia="仿宋" w:cs="仿宋"/>
          <w:sz w:val="32"/>
          <w:szCs w:val="32"/>
        </w:rPr>
        <w:t>文件精神及区委、区政府工作部署，从我区实际出发，决定在餐饮场所较多且管道天然气已通达的城区（大中街道、丰华街道、经济开发区）、新丰镇及大丰港区范围内推进餐饮场所瓶装液化石油气转换管道天然气工作（以下简称“瓶改管”工作）。现制订工作方案如下。</w:t>
      </w:r>
    </w:p>
    <w:bookmarkEnd w:id="0"/>
    <w:p>
      <w:pPr>
        <w:spacing w:line="520" w:lineRule="exact"/>
        <w:ind w:firstLine="640" w:firstLineChars="200"/>
        <w:rPr>
          <w:rFonts w:ascii="黑体" w:hAnsi="仿宋" w:eastAsia="黑体" w:cs="仿宋"/>
          <w:bCs/>
          <w:sz w:val="32"/>
          <w:szCs w:val="32"/>
        </w:rPr>
      </w:pPr>
      <w:bookmarkStart w:id="1" w:name="OLE_LINK2"/>
      <w:r>
        <w:rPr>
          <w:rFonts w:hint="eastAsia" w:ascii="黑体" w:hAnsi="仿宋" w:eastAsia="黑体" w:cs="仿宋"/>
          <w:bCs/>
          <w:sz w:val="32"/>
          <w:szCs w:val="32"/>
        </w:rPr>
        <w:t>一、指导思想</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认真贯彻党的二十大精神，紧紧围绕国务院、省、市安全生产专项整治督导工作要求，进一步增强风险防范意识。统筹推进餐饮场所“瓶改管”工作，提高餐饮场所安全用气水平，从根本上解决餐饮单位使用瓶装液化石油气换气频繁、操作不规范、习惯性违章等安全隐患问题，筑牢城镇燃气安全风险防控底线，切实保障社会公共安全和人民群众生命财产安全，推动全区城镇燃气安全生产形势持续稳定向好。</w:t>
      </w:r>
    </w:p>
    <w:bookmarkEnd w:id="1"/>
    <w:p>
      <w:pPr>
        <w:spacing w:line="520" w:lineRule="exact"/>
        <w:ind w:firstLine="640" w:firstLineChars="200"/>
        <w:rPr>
          <w:rFonts w:ascii="黑体" w:hAnsi="仿宋" w:eastAsia="黑体" w:cs="仿宋"/>
          <w:bCs/>
          <w:sz w:val="32"/>
          <w:szCs w:val="32"/>
        </w:rPr>
      </w:pPr>
      <w:bookmarkStart w:id="2" w:name="OLE_LINK3"/>
      <w:r>
        <w:rPr>
          <w:rFonts w:hint="eastAsia" w:ascii="黑体" w:hAnsi="仿宋" w:eastAsia="黑体" w:cs="仿宋"/>
          <w:bCs/>
          <w:sz w:val="32"/>
          <w:szCs w:val="32"/>
        </w:rPr>
        <w:t>二、目标任务</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w:t>
      </w:r>
      <w:bookmarkStart w:id="3" w:name="OLE_LINK27"/>
      <w:r>
        <w:rPr>
          <w:rFonts w:hint="eastAsia" w:ascii="仿宋" w:hAnsi="仿宋" w:eastAsia="仿宋" w:cs="仿宋"/>
          <w:sz w:val="32"/>
          <w:szCs w:val="32"/>
        </w:rPr>
        <w:t>建立“政府统筹、属地推进、企业实施、用户落实”的工作体系，推进城区及相关镇、区园管道天然气覆盖范围内的餐饮场所“瓶改管”工作。到2023年底，大丰城区及相关镇、区园在管道天然气覆盖范围内的餐饮场所瓶装液化石油气转换管道天然气工作做到应改尽改。</w:t>
      </w:r>
    </w:p>
    <w:bookmarkEnd w:id="3"/>
    <w:p>
      <w:pPr>
        <w:spacing w:line="52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二）加强源头管控，统一标准和要求。针对餐饮场所规模小、流动性强、易于快速恢复经营的特点，建立健全从规划布局、证照发放到事中事后监管的全流程长效管理机制。强化餐饮服务业产业发展、空间布局规划，规划相对独立的具有餐饮功能、符合环境功能区和污染防治要求的商业集聚区。</w:t>
      </w:r>
      <w:bookmarkStart w:id="4" w:name="OLE_LINK4"/>
      <w:r>
        <w:rPr>
          <w:rFonts w:hint="eastAsia" w:ascii="仿宋" w:hAnsi="仿宋" w:eastAsia="仿宋" w:cs="仿宋"/>
          <w:sz w:val="32"/>
          <w:szCs w:val="32"/>
        </w:rPr>
        <w:t>新建项目设置餐饮场所有用气需求的，在办理项目前期审批手续时，应当明确要求建设单位配套建设管道天然气设施，并与主体工程同步规划、设计、施工、验收。城区及相关镇、区园新设餐饮场所在管道天然气覆盖范围内的，在办理营业执照及食品经营许可时应当明确要求餐饮单位使用管道天然气。</w:t>
      </w:r>
    </w:p>
    <w:bookmarkEnd w:id="2"/>
    <w:p>
      <w:pPr>
        <w:spacing w:line="5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三、实施范围</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瓶改管工作实行分类推进落实和负面清单管理：</w:t>
      </w:r>
    </w:p>
    <w:p>
      <w:pPr>
        <w:spacing w:line="520" w:lineRule="exact"/>
        <w:ind w:firstLine="480" w:firstLineChars="150"/>
        <w:rPr>
          <w:rFonts w:ascii="仿宋" w:hAnsi="仿宋" w:eastAsia="仿宋" w:cs="仿宋"/>
          <w:sz w:val="32"/>
          <w:szCs w:val="32"/>
        </w:rPr>
      </w:pPr>
      <w:r>
        <w:rPr>
          <w:rFonts w:hint="eastAsia" w:ascii="仿宋" w:hAnsi="仿宋" w:eastAsia="仿宋" w:cs="仿宋"/>
          <w:sz w:val="32"/>
          <w:szCs w:val="32"/>
        </w:rPr>
        <w:t>（一）第一类：针对在城区及相关镇、区园燃气管网覆盖范围内、符合户内管道燃气设施建设规范、产权明晰、至今尚未实现管道供气的“弱、小、散”类型餐饮场所，具体包括现状使用瓶装液化石油气的各类小酒店、小饭店、火锅店、烧烤店、小吃店、大排档、沿街小门面商铺等餐饮场所。</w:t>
      </w:r>
    </w:p>
    <w:p>
      <w:pPr>
        <w:spacing w:line="520" w:lineRule="exact"/>
        <w:jc w:val="left"/>
        <w:rPr>
          <w:rFonts w:ascii="仿宋" w:hAnsi="仿宋" w:eastAsia="仿宋" w:cs="仿宋"/>
          <w:sz w:val="32"/>
          <w:szCs w:val="32"/>
        </w:rPr>
      </w:pPr>
      <w:r>
        <w:rPr>
          <w:rFonts w:hint="eastAsia" w:ascii="仿宋" w:hAnsi="仿宋" w:eastAsia="仿宋" w:cs="仿宋"/>
          <w:sz w:val="32"/>
          <w:szCs w:val="32"/>
        </w:rPr>
        <w:t xml:space="preserve">   （二）第二类：城市综合体、高层办公楼及大型宾馆酒店等餐饮场所。</w:t>
      </w:r>
    </w:p>
    <w:p>
      <w:pPr>
        <w:spacing w:line="520" w:lineRule="exact"/>
        <w:jc w:val="left"/>
        <w:rPr>
          <w:rFonts w:ascii="仿宋" w:hAnsi="仿宋" w:eastAsia="仿宋" w:cs="仿宋"/>
          <w:sz w:val="32"/>
          <w:szCs w:val="32"/>
        </w:rPr>
      </w:pPr>
      <w:bookmarkStart w:id="5" w:name="OLE_LINK5"/>
      <w:r>
        <w:rPr>
          <w:rFonts w:hint="eastAsia" w:ascii="仿宋" w:hAnsi="仿宋" w:eastAsia="仿宋" w:cs="仿宋"/>
          <w:sz w:val="32"/>
          <w:szCs w:val="32"/>
        </w:rPr>
        <w:t xml:space="preserve">   （三）第三类：各机关、医院、民政服务机构、学校、厂矿企业等相关企事业单位食堂。</w:t>
      </w:r>
    </w:p>
    <w:bookmarkEnd w:id="4"/>
    <w:p>
      <w:pPr>
        <w:spacing w:line="520" w:lineRule="exact"/>
        <w:jc w:val="left"/>
        <w:rPr>
          <w:rFonts w:ascii="仿宋" w:hAnsi="仿宋" w:eastAsia="仿宋" w:cs="仿宋"/>
          <w:sz w:val="32"/>
          <w:szCs w:val="32"/>
        </w:rPr>
      </w:pPr>
      <w:r>
        <w:rPr>
          <w:rFonts w:hint="eastAsia" w:ascii="仿宋" w:hAnsi="仿宋" w:eastAsia="仿宋" w:cs="仿宋"/>
          <w:sz w:val="32"/>
          <w:szCs w:val="32"/>
        </w:rPr>
        <w:t xml:space="preserve">   “瓶改管”工作范围不包括：一是无产权、产权不明、违章建筑、未取得经营许可相关证件的餐饮场所，以及无固定经营场所的个体工商（餐饮流动摊贩）。二是不符合天然气管道设计、建设、运行、安全相关标准规范的餐饮场所。三是2023年底前启动地块开发、房屋征收的餐饮场所。四是确需使用瓶装液化石油气的建筑工地临时食堂。</w:t>
      </w:r>
      <w:bookmarkEnd w:id="5"/>
      <w:bookmarkStart w:id="6" w:name="OLE_LINK6"/>
      <w:r>
        <w:rPr>
          <w:rFonts w:hint="eastAsia" w:ascii="仿宋" w:hAnsi="仿宋" w:eastAsia="仿宋" w:cs="仿宋"/>
          <w:sz w:val="32"/>
          <w:szCs w:val="32"/>
        </w:rPr>
        <w:t>对存在违法建设、证照不全等各类违法行为的，交由相关审批、执法部门处理。对无法实施“瓶改管”但确需使用瓶装液化石油气的餐饮场所，加强安全用气指导宣传和监管力度，确保风险可控；对可能关闭、转型或更换业态的，属地街道及相关镇、区园要积极引导。</w:t>
      </w:r>
    </w:p>
    <w:bookmarkEnd w:id="6"/>
    <w:p>
      <w:pPr>
        <w:spacing w:line="520" w:lineRule="exact"/>
        <w:ind w:firstLine="640" w:firstLineChars="200"/>
        <w:rPr>
          <w:rFonts w:ascii="黑体" w:hAnsi="仿宋" w:eastAsia="黑体" w:cs="仿宋"/>
          <w:bCs/>
          <w:sz w:val="32"/>
          <w:szCs w:val="32"/>
        </w:rPr>
      </w:pPr>
      <w:bookmarkStart w:id="7" w:name="OLE_LINK7"/>
      <w:r>
        <w:rPr>
          <w:rFonts w:hint="eastAsia" w:ascii="黑体" w:hAnsi="仿宋" w:eastAsia="黑体" w:cs="仿宋"/>
          <w:bCs/>
          <w:sz w:val="32"/>
          <w:szCs w:val="32"/>
        </w:rPr>
        <w:t>四、工作分工</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明确城区及相关镇、区园、有关部门和单位、燃气经营企业、餐饮用户的责任，形成“主体明确、分工明晰、信息共享、监管规范”的联动工作责任制，通过政策引导、示范推广、重点督办，加快推进城区及相关镇、区园餐饮场所“瓶改管”工作。各街道及相关镇、区园、有关部门和单位坚持依法行政和全面履职，加强协作配合和信息沟通，形成联动机制和监管合力，开展联合执法，将餐饮场所燃气使用相关安全管控措施落实到每一个环节；各瓶装液化石油气经营企业应主动响应、积极配合，做好钢瓶规范管理和用户宣传解释工作；餐饮用户自觉遵照执行到位。</w:t>
      </w:r>
    </w:p>
    <w:bookmarkEnd w:id="7"/>
    <w:p>
      <w:pPr>
        <w:numPr>
          <w:ilvl w:val="0"/>
          <w:numId w:val="1"/>
        </w:numPr>
        <w:spacing w:line="520" w:lineRule="exact"/>
        <w:ind w:firstLine="640" w:firstLineChars="200"/>
        <w:rPr>
          <w:rFonts w:ascii="仿宋" w:hAnsi="仿宋" w:eastAsia="仿宋" w:cs="仿宋"/>
          <w:sz w:val="32"/>
          <w:szCs w:val="32"/>
        </w:rPr>
      </w:pPr>
      <w:bookmarkStart w:id="8" w:name="OLE_LINK8"/>
      <w:r>
        <w:rPr>
          <w:rFonts w:hint="eastAsia" w:ascii="仿宋" w:hAnsi="仿宋" w:eastAsia="仿宋" w:cs="仿宋"/>
          <w:sz w:val="32"/>
          <w:szCs w:val="32"/>
          <w:lang w:val="en-US" w:eastAsia="zh-CN"/>
        </w:rPr>
        <w:t>企业</w:t>
      </w:r>
      <w:r>
        <w:rPr>
          <w:rFonts w:hint="eastAsia" w:ascii="仿宋" w:hAnsi="仿宋" w:eastAsia="仿宋" w:cs="仿宋"/>
          <w:sz w:val="32"/>
          <w:szCs w:val="32"/>
        </w:rPr>
        <w:t>经营主体责任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使用瓶装液化石油气的餐饮场所：对照《餐饮场所使用燃气基本安全要求》认真排查安全隐患并落实整改措施，根据全区统一部署积极响应并主动实施“瓶改管”工作。按照“谁使用、谁负责”的原则，餐饮场所用户是燃气使用安全的责任主体，对场所用气安全承担主体责任，使用燃气必须安装可燃气体泄漏报警和自动切断功能装置，</w:t>
      </w:r>
      <w:r>
        <w:rPr>
          <w:rFonts w:hint="eastAsia" w:ascii="仿宋" w:hAnsi="仿宋" w:eastAsia="仿宋" w:cs="仿宋"/>
          <w:sz w:val="32"/>
          <w:szCs w:val="32"/>
          <w:lang w:val="en-US" w:eastAsia="zh-CN"/>
        </w:rPr>
        <w:t>并按期检定，</w:t>
      </w:r>
      <w:r>
        <w:rPr>
          <w:rFonts w:hint="eastAsia" w:ascii="仿宋" w:hAnsi="仿宋" w:eastAsia="仿宋" w:cs="仿宋"/>
          <w:sz w:val="32"/>
          <w:szCs w:val="32"/>
        </w:rPr>
        <w:t>且灶具须配备熄火保护装置。要坚决杜绝从黑气点或无证气贩充气、在车库或地下室等不符合安全要求场所存放使用燃气以及液化气钢瓶超期使用等违法违规行为，主动与供气单位签订安全供用气合同。</w:t>
      </w:r>
    </w:p>
    <w:bookmarkEnd w:id="8"/>
    <w:p>
      <w:pPr>
        <w:spacing w:line="520" w:lineRule="exact"/>
        <w:ind w:firstLine="640" w:firstLineChars="200"/>
        <w:rPr>
          <w:rFonts w:hint="eastAsia" w:ascii="仿宋" w:hAnsi="仿宋" w:eastAsia="仿宋" w:cs="仿宋"/>
          <w:sz w:val="32"/>
          <w:szCs w:val="32"/>
        </w:rPr>
      </w:pPr>
      <w:bookmarkStart w:id="9" w:name="OLE_LINK9"/>
      <w:r>
        <w:rPr>
          <w:rFonts w:hint="eastAsia" w:ascii="仿宋" w:hAnsi="仿宋" w:eastAsia="仿宋" w:cs="仿宋"/>
          <w:sz w:val="32"/>
          <w:szCs w:val="32"/>
        </w:rPr>
        <w:t>瓶装液化石油气经营企业：积极配合餐饮场所“瓶改管”工作，在尚未完成转换的过渡期间，按照“谁供气、谁负责”的原则，严格落实安全生产责任制和各项安全措施，与用户签订供用气合同明确双方权利和义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对不满足瓶装液化气使用条件的餐饮单位停止供气</w:t>
      </w:r>
      <w:r>
        <w:rPr>
          <w:rFonts w:hint="eastAsia" w:ascii="仿宋" w:hAnsi="仿宋" w:eastAsia="仿宋" w:cs="仿宋"/>
          <w:sz w:val="32"/>
          <w:szCs w:val="32"/>
        </w:rPr>
        <w:t>；遵守供气安全操作规程，不得非法充装或使用报废、超期和不合格的钢瓶，加强对送气工和送气车辆的管理，定期对用户进行液化石油气设施安全检查并加强安全用气知识宣传。</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管道天然气经营企业：优化安装服务流程和制定优惠收费标准，筹集企业承担的转换资金；主动配合属地及部门做好餐饮单位和产权业主思想工作；负责设计、施工、物资采购及质量控制、安全保障，根据区转换计划和餐饮单位需求，按照管道天然气建设相关标准规范开展设计、施工，确保按时优质完成转换任务。</w:t>
      </w:r>
      <w:bookmarkEnd w:id="9"/>
      <w:bookmarkStart w:id="10" w:name="OLE_LINK10"/>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（二）板块属地管理责任</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城区及相关镇、区园要落实属地管理责任，成立专项工作领导小组，明确细化街道及相关镇、区园、社区具体工作分工，细化实施方案和保障措施（天然气管道未通达的地区，可提前结合规划做好准备工作）。对辖区内餐饮场所的证照领取、房屋性质、实际经营情况以及液化石油气钢瓶使用情况进行调查摸底，开展安全生产网格化管理，督促餐饮用户落实餐饮场所燃气使用相关安全管控措施；大力开展宣传鼓动工作，营造“瓶改管”工作的浓烈氛围，引导餐饮用户积极参与“瓶改管”；制定切实可行的具体转换计划和时序进度安排，统筹平衡安全管理要求和餐饮用户转换意愿，为管道天然气经营企业实施转换工作创造协调稳定、施工保障的有利条件。</w:t>
      </w:r>
      <w:bookmarkEnd w:id="10"/>
      <w:bookmarkStart w:id="11" w:name="OLE_LINK11"/>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（三）部门监管责任</w:t>
      </w:r>
      <w:bookmarkStart w:id="12" w:name="OLE_LINK26"/>
    </w:p>
    <w:p>
      <w:pPr>
        <w:spacing w:line="520" w:lineRule="exact"/>
        <w:ind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区住建局：负责统筹推进城区及相关镇、区园餐饮场所“瓶改管”工作；负责组织管道天然气经营企业梳理制定简便安装流程和优惠收费标准，配合财政部门研究落实餐饮场所“瓶改管”工作补助资金；负责督促餐饮场所安装可燃气体泄漏报警和自动切断功能装置，及时向相关监管部门移送在“瓶改管”工作中发生的违法</w:t>
      </w:r>
      <w:r>
        <w:rPr>
          <w:rFonts w:hint="eastAsia" w:ascii="仿宋" w:hAnsi="仿宋" w:eastAsia="仿宋" w:cs="仿宋"/>
          <w:sz w:val="32"/>
          <w:szCs w:val="32"/>
          <w:lang w:val="en-US" w:eastAsia="zh-CN"/>
        </w:rPr>
        <w:t>违规</w:t>
      </w:r>
      <w:r>
        <w:rPr>
          <w:rFonts w:hint="eastAsia" w:ascii="仿宋" w:hAnsi="仿宋" w:eastAsia="仿宋" w:cs="仿宋"/>
          <w:sz w:val="32"/>
          <w:szCs w:val="32"/>
        </w:rPr>
        <w:t>行为线索。</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区应急管理局：</w:t>
      </w:r>
      <w:bookmarkEnd w:id="11"/>
      <w:bookmarkStart w:id="13" w:name="OLE_LINK12"/>
      <w:r>
        <w:rPr>
          <w:rFonts w:hint="eastAsia" w:ascii="仿宋" w:hAnsi="仿宋" w:eastAsia="仿宋" w:cs="仿宋"/>
          <w:sz w:val="32"/>
          <w:szCs w:val="32"/>
        </w:rPr>
        <w:t>履行餐饮单位“瓶改管”安全工作综合监管职责，督促有关部门和单位加强餐饮单位燃气安全监管，对各单位提请的经审查符合重大隐患认定标准的燃气安全隐患进行挂牌督办。</w:t>
      </w:r>
    </w:p>
    <w:p>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区商务局：负责督促餐饮用户落实安全生产主体责任，督促餐饮用户每月对户内燃气设施设备使用情况进行一次全面自查，对自查发现的隐患问题应及时整改；督促餐饮用户在餐饮场所显著位置张贴公示燃气安全使用信息公示牌，接受公众监督；定期检查餐饮用户自查情况和隐患整改情况。对未与供气企业签订供用气合同的餐饮场所，督促其与合法供气企业签订安全供用气合同；指导餐饮用户增强从业人员安全意识，加强用气知识宣传。配合做好餐饮场所“瓶改管”工作，会同属地街道及相关镇、区园及住建、市场监管等部门汇总辖区内合法餐饮用户、瓶装气餐饮用户购气信息清单，依托属地镇、街道、区园上门摸排，建立瓶装液化气餐饮用户名录，督促餐饮用户使用符合国家标准的带熄火保护装置的灶具以及连接管、调压阀等配件。</w:t>
      </w:r>
      <w:bookmarkEnd w:id="13"/>
      <w:bookmarkStart w:id="14" w:name="OLE_LINK13"/>
      <w:r>
        <w:rPr>
          <w:rFonts w:hint="eastAsia" w:ascii="仿宋" w:hAnsi="仿宋" w:eastAsia="仿宋" w:cs="仿宋"/>
          <w:sz w:val="32"/>
          <w:szCs w:val="32"/>
          <w:lang w:val="en-US" w:eastAsia="zh-CN"/>
        </w:rPr>
        <w:t>督促餐饮用户安装</w:t>
      </w:r>
      <w:r>
        <w:rPr>
          <w:rFonts w:hint="eastAsia" w:ascii="仿宋" w:hAnsi="仿宋" w:eastAsia="仿宋" w:cs="仿宋"/>
          <w:sz w:val="32"/>
          <w:szCs w:val="32"/>
        </w:rPr>
        <w:t>可燃气体泄漏报警和自动切断功能装置</w:t>
      </w:r>
      <w:r>
        <w:rPr>
          <w:rFonts w:hint="eastAsia" w:ascii="仿宋" w:hAnsi="仿宋" w:eastAsia="仿宋" w:cs="仿宋"/>
          <w:sz w:val="32"/>
          <w:szCs w:val="32"/>
          <w:lang w:val="en-US" w:eastAsia="zh-CN"/>
        </w:rPr>
        <w:t>并保障其正常使用。</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区市场监管局：依法查处餐饮经营主体未领取营业执照、食品经营许可证的违法行为，督促充装单位建立完善液化石油气钢瓶使用登记和</w:t>
      </w:r>
      <w:r>
        <w:rPr>
          <w:rFonts w:hint="eastAsia" w:ascii="仿宋" w:hAnsi="仿宋" w:eastAsia="仿宋" w:cs="仿宋"/>
          <w:sz w:val="32"/>
          <w:szCs w:val="32"/>
          <w:lang w:val="en-US" w:eastAsia="zh-CN"/>
        </w:rPr>
        <w:t>电子</w:t>
      </w:r>
      <w:r>
        <w:rPr>
          <w:rFonts w:hint="eastAsia" w:ascii="仿宋" w:hAnsi="仿宋" w:eastAsia="仿宋" w:cs="仿宋"/>
          <w:sz w:val="32"/>
          <w:szCs w:val="32"/>
        </w:rPr>
        <w:t>信息可追溯制度，</w:t>
      </w:r>
      <w:r>
        <w:rPr>
          <w:rFonts w:hint="eastAsia" w:ascii="仿宋" w:hAnsi="仿宋" w:eastAsia="仿宋" w:cs="仿宋"/>
          <w:sz w:val="32"/>
          <w:szCs w:val="32"/>
          <w:lang w:val="en-US" w:eastAsia="zh-CN"/>
        </w:rPr>
        <w:t>对检查中发现的餐饮场所使用的报废、超期未检和标志不符合规定的钢瓶进行追溯，将存在上述问题的钢瓶移送专业检验机构依法处理，并</w:t>
      </w:r>
      <w:r>
        <w:rPr>
          <w:rFonts w:hint="eastAsia" w:ascii="仿宋" w:hAnsi="仿宋" w:eastAsia="仿宋" w:cs="仿宋"/>
          <w:sz w:val="32"/>
          <w:szCs w:val="32"/>
        </w:rPr>
        <w:t>依法追究</w:t>
      </w:r>
      <w:r>
        <w:rPr>
          <w:rFonts w:hint="eastAsia" w:ascii="仿宋" w:hAnsi="仿宋" w:eastAsia="仿宋" w:cs="仿宋"/>
          <w:sz w:val="32"/>
          <w:szCs w:val="32"/>
          <w:lang w:val="en-US" w:eastAsia="zh-CN"/>
        </w:rPr>
        <w:t>钢瓶</w:t>
      </w:r>
      <w:r>
        <w:rPr>
          <w:rFonts w:hint="eastAsia" w:ascii="仿宋" w:hAnsi="仿宋" w:eastAsia="仿宋" w:cs="仿宋"/>
          <w:sz w:val="32"/>
          <w:szCs w:val="32"/>
        </w:rPr>
        <w:t>充装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检验单位</w:t>
      </w:r>
      <w:r>
        <w:rPr>
          <w:rFonts w:hint="eastAsia" w:ascii="仿宋" w:hAnsi="仿宋" w:eastAsia="仿宋" w:cs="仿宋"/>
          <w:sz w:val="32"/>
          <w:szCs w:val="32"/>
        </w:rPr>
        <w:t>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区财政局：负责餐饮场所“瓶改管”补助资金的筹集；会同有关部门及时拨付补助资金。</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区审计局：负责政府补助资金使用的相关审计监督工作。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区公安局：负责处置化解无理阻扰转换工作等各类警情和治安案件；负责指导餐饮场所“瓶改管”工作涉及的施工期交通组织设计，做好施工期交通组织管理。</w:t>
      </w:r>
    </w:p>
    <w:p>
      <w:pPr>
        <w:spacing w:line="520" w:lineRule="exact"/>
        <w:ind w:firstLine="640" w:firstLineChars="200"/>
        <w:rPr>
          <w:rFonts w:ascii="仿宋" w:hAnsi="仿宋" w:eastAsia="仿宋" w:cs="仿宋"/>
          <w:sz w:val="32"/>
          <w:szCs w:val="32"/>
        </w:rPr>
      </w:pPr>
      <w:bookmarkStart w:id="15" w:name="OLE_LINK14"/>
      <w:r>
        <w:rPr>
          <w:rFonts w:hint="eastAsia" w:ascii="仿宋" w:hAnsi="仿宋" w:eastAsia="仿宋" w:cs="仿宋"/>
          <w:sz w:val="32"/>
          <w:szCs w:val="32"/>
        </w:rPr>
        <w:t>区消防救援大队：负责对餐饮场所遵守消防法律法规的情况依法进行监督检查，督促餐饮场所单位落实消防安全主体责任，配备必要的灭火设施和器材，保持疏散通道的畅通；依法查处餐饮场所违反消防法律法规的行为；协助落实餐饮场所燃气安全使用相关管控措施。</w:t>
      </w:r>
    </w:p>
    <w:bookmarkEnd w:id="14"/>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区城管局：负责查处黑气点、无证经营燃气场所；负责查处在不具备安全条件的场所使用燃气等行为；加强流动摊贩使用液化石油气钢瓶管理工作的监管，积极引导使用燃气流动摊贩入室经营。</w:t>
      </w:r>
    </w:p>
    <w:p>
      <w:pPr>
        <w:spacing w:line="520" w:lineRule="exact"/>
        <w:ind w:firstLine="640" w:firstLineChars="200"/>
        <w:rPr>
          <w:rFonts w:ascii="仿宋" w:hAnsi="仿宋" w:eastAsia="仿宋" w:cs="仿宋"/>
          <w:sz w:val="32"/>
          <w:szCs w:val="32"/>
        </w:rPr>
      </w:pPr>
      <w:bookmarkStart w:id="16" w:name="OLE_LINK15"/>
      <w:r>
        <w:rPr>
          <w:rFonts w:hint="eastAsia" w:ascii="仿宋" w:hAnsi="仿宋" w:eastAsia="仿宋" w:cs="仿宋"/>
          <w:sz w:val="32"/>
          <w:szCs w:val="32"/>
        </w:rPr>
        <w:t>区卫健委、文旅局、教育局、民政局等各相关部门：负责卫生医疗机构、星级宾馆饭店、学校（含幼儿园）、民政服务等机构使用燃气的安全管理工作，督促落实安全生产主体责任。督促使用液化石油气的相关机构主动申请转换管道天然气。开展厨房或食堂使用燃气日常安全检查，妥善办理上述用户相关政策咨询和投诉建议。</w:t>
      </w:r>
    </w:p>
    <w:bookmarkEnd w:id="12"/>
    <w:bookmarkEnd w:id="15"/>
    <w:bookmarkEnd w:id="16"/>
    <w:p>
      <w:pPr>
        <w:spacing w:line="520" w:lineRule="exact"/>
        <w:ind w:firstLine="640" w:firstLineChars="200"/>
        <w:rPr>
          <w:rFonts w:ascii="黑体" w:hAnsi="仿宋" w:eastAsia="黑体" w:cs="仿宋"/>
          <w:bCs/>
          <w:sz w:val="32"/>
          <w:szCs w:val="32"/>
        </w:rPr>
      </w:pPr>
      <w:r>
        <w:rPr>
          <w:rFonts w:hint="eastAsia" w:ascii="黑体" w:hAnsi="仿宋" w:eastAsia="黑体" w:cs="仿宋"/>
          <w:bCs/>
          <w:sz w:val="32"/>
          <w:szCs w:val="32"/>
        </w:rPr>
        <w:t>五、</w:t>
      </w:r>
      <w:bookmarkStart w:id="17" w:name="OLE_LINK16"/>
      <w:r>
        <w:rPr>
          <w:rFonts w:hint="eastAsia" w:ascii="黑体" w:hAnsi="仿宋" w:eastAsia="黑体" w:cs="仿宋"/>
          <w:bCs/>
          <w:sz w:val="32"/>
          <w:szCs w:val="32"/>
        </w:rPr>
        <w:t>实施计划</w:t>
      </w:r>
    </w:p>
    <w:p>
      <w:pPr>
        <w:spacing w:line="520" w:lineRule="exact"/>
        <w:ind w:firstLine="480" w:firstLineChars="150"/>
        <w:rPr>
          <w:rFonts w:ascii="仿宋" w:hAnsi="仿宋" w:eastAsia="仿宋" w:cs="仿宋"/>
          <w:sz w:val="32"/>
          <w:szCs w:val="32"/>
        </w:rPr>
      </w:pPr>
      <w:r>
        <w:rPr>
          <w:rFonts w:hint="eastAsia" w:ascii="仿宋" w:hAnsi="仿宋" w:eastAsia="仿宋" w:cs="仿宋"/>
          <w:sz w:val="32"/>
          <w:szCs w:val="32"/>
        </w:rPr>
        <w:t>（一）调查摸底，组织动员阶段（2023年</w:t>
      </w:r>
      <w:r>
        <w:rPr>
          <w:rFonts w:hint="default" w:ascii="仿宋" w:hAnsi="仿宋" w:eastAsia="仿宋" w:cs="仿宋"/>
          <w:sz w:val="32"/>
          <w:szCs w:val="32"/>
          <w:lang w:val="en-US"/>
        </w:rPr>
        <w:t>3</w:t>
      </w:r>
      <w:r>
        <w:rPr>
          <w:rFonts w:hint="eastAsia" w:ascii="仿宋" w:hAnsi="仿宋" w:eastAsia="仿宋" w:cs="仿宋"/>
          <w:sz w:val="32"/>
          <w:szCs w:val="32"/>
          <w:lang w:val="en-US" w:eastAsia="zh-CN"/>
        </w:rPr>
        <w:t>月底前</w:t>
      </w:r>
      <w:r>
        <w:rPr>
          <w:rFonts w:hint="eastAsia" w:ascii="仿宋" w:hAnsi="仿宋" w:eastAsia="仿宋" w:cs="仿宋"/>
          <w:sz w:val="32"/>
          <w:szCs w:val="32"/>
        </w:rPr>
        <w:t>）。各街道及相关镇、区园对辖区内餐饮场所数量</w:t>
      </w:r>
      <w:bookmarkStart w:id="27" w:name="_GoBack"/>
      <w:bookmarkEnd w:id="27"/>
      <w:r>
        <w:rPr>
          <w:rFonts w:hint="eastAsia" w:ascii="仿宋" w:hAnsi="仿宋" w:eastAsia="仿宋" w:cs="仿宋"/>
          <w:sz w:val="32"/>
          <w:szCs w:val="32"/>
        </w:rPr>
        <w:t>和实际经营情况分类别、分区域组织全覆盖拉网式调查摸底，2023年3月31日前，将调查摸底情况报区“瓶改管”领导小组办公室。调查摸底应实施数据动态化管理，确保做到底数清、情况明、措施硬、效果实。根据调查摸底的情况按照重点区域、人员密集场所、实施难易程度、轻重缓急程度等，合理制定餐饮场所“瓶改管”工作进度计划，严格按要求完成转换。</w:t>
      </w:r>
    </w:p>
    <w:bookmarkEnd w:id="17"/>
    <w:p>
      <w:pPr>
        <w:spacing w:line="520" w:lineRule="exact"/>
        <w:ind w:firstLine="640" w:firstLineChars="200"/>
        <w:rPr>
          <w:rFonts w:ascii="仿宋" w:hAnsi="仿宋" w:eastAsia="仿宋" w:cs="仿宋"/>
          <w:sz w:val="32"/>
          <w:szCs w:val="32"/>
        </w:rPr>
      </w:pPr>
      <w:bookmarkStart w:id="18" w:name="OLE_LINK17"/>
      <w:r>
        <w:rPr>
          <w:rFonts w:hint="eastAsia" w:ascii="仿宋" w:hAnsi="仿宋" w:eastAsia="仿宋" w:cs="仿宋"/>
          <w:sz w:val="32"/>
          <w:szCs w:val="32"/>
        </w:rPr>
        <w:t>（二）以点带面，示范推广阶段（2023年4月1日—2023年6月30日）。各街道及相关镇、区园选取辖区内餐饮场所相对密集的区域，制定具体实施方案，利用3个月时间集中完成该密集区域餐饮场所“瓶改管”工作试点，通过周密部署、集中力量，做一片成一片。根据试点项目实施情况，及时总结经验和不足，进一步优化方案和保障措施，发挥试点区域初步成效和示范作用，并在全区推广。</w:t>
      </w:r>
    </w:p>
    <w:bookmarkEnd w:id="18"/>
    <w:p>
      <w:pPr>
        <w:spacing w:line="520" w:lineRule="exact"/>
        <w:ind w:firstLine="480" w:firstLineChars="150"/>
        <w:rPr>
          <w:rFonts w:ascii="仿宋" w:hAnsi="仿宋" w:eastAsia="仿宋" w:cs="仿宋"/>
          <w:sz w:val="32"/>
          <w:szCs w:val="32"/>
        </w:rPr>
      </w:pPr>
      <w:r>
        <w:rPr>
          <w:rFonts w:hint="eastAsia" w:ascii="仿宋" w:hAnsi="仿宋" w:eastAsia="仿宋" w:cs="仿宋"/>
          <w:sz w:val="32"/>
          <w:szCs w:val="32"/>
        </w:rPr>
        <w:t>（三）因地制宜，稳妥推进阶段（2023年7月1日—2023年12月31日）。各街道及相关镇、区园结合辖区内餐饮场所数量和实际经营情况，因地制宜、因户施策，鼓励引导餐饮用户配合，对餐饮用户转换意愿强烈、周边协调矛盾小、现场施工条件好的餐饮场所优先安排转换管道天然气，进一步强化属地安全生产监管防范措施，确保辖区内餐饮场所“瓶改管”期间燃气使用的安全、有序、稳定。2023年12月31日前做到应改尽改。</w:t>
      </w:r>
    </w:p>
    <w:p>
      <w:pPr>
        <w:spacing w:line="520" w:lineRule="exact"/>
        <w:ind w:left="643"/>
        <w:rPr>
          <w:rFonts w:ascii="黑体" w:hAnsi="仿宋" w:eastAsia="黑体" w:cs="仿宋"/>
          <w:bCs/>
          <w:sz w:val="32"/>
          <w:szCs w:val="32"/>
        </w:rPr>
      </w:pPr>
      <w:bookmarkStart w:id="19" w:name="OLE_LINK18"/>
      <w:r>
        <w:rPr>
          <w:rFonts w:hint="eastAsia" w:ascii="黑体" w:hAnsi="仿宋" w:eastAsia="黑体" w:cs="仿宋"/>
          <w:bCs/>
          <w:sz w:val="32"/>
          <w:szCs w:val="32"/>
        </w:rPr>
        <w:t>六、保障措施</w:t>
      </w:r>
    </w:p>
    <w:p>
      <w:pPr>
        <w:spacing w:line="520" w:lineRule="exact"/>
        <w:ind w:firstLine="480" w:firstLineChars="150"/>
        <w:rPr>
          <w:rFonts w:ascii="仿宋" w:hAnsi="仿宋" w:eastAsia="仿宋" w:cs="仿宋"/>
          <w:sz w:val="32"/>
          <w:szCs w:val="32"/>
        </w:rPr>
      </w:pPr>
      <w:r>
        <w:rPr>
          <w:rFonts w:hint="eastAsia" w:ascii="仿宋" w:hAnsi="仿宋" w:eastAsia="仿宋" w:cs="仿宋"/>
          <w:sz w:val="32"/>
          <w:szCs w:val="32"/>
        </w:rPr>
        <w:t>（一）强化组织领导，加大协调力度。成立大丰区餐饮场所瓶装液化石油气转换管道天然气工作领导小组，指导、推进、督查“瓶改管”工作。各街道及相关镇、区园、有关部门和单位要高度重视餐饮场所“瓶改管”工作和餐饮场所燃气使用相关安全管控措施，将此项工作作为我区一项重要的惠民利民的民生实事和公共安全风险点管控重要内容，加强协作配合和信息沟通，形成联动机制和监管合力，及时协调解决在实施过程中遇到的问题，确保转换工作顺利推进。</w:t>
      </w:r>
    </w:p>
    <w:bookmarkEnd w:id="19"/>
    <w:p>
      <w:pPr>
        <w:spacing w:line="520" w:lineRule="exact"/>
        <w:ind w:firstLine="480" w:firstLineChars="150"/>
        <w:rPr>
          <w:rFonts w:ascii="仿宋" w:hAnsi="仿宋" w:eastAsia="仿宋" w:cs="仿宋"/>
          <w:sz w:val="32"/>
          <w:szCs w:val="32"/>
        </w:rPr>
      </w:pPr>
      <w:bookmarkStart w:id="20" w:name="OLE_LINK19"/>
      <w:r>
        <w:rPr>
          <w:rFonts w:hint="eastAsia" w:ascii="仿宋" w:hAnsi="仿宋" w:eastAsia="仿宋" w:cs="仿宋"/>
          <w:sz w:val="32"/>
          <w:szCs w:val="32"/>
        </w:rPr>
        <w:t>（二）企业优惠让利，政府专项奖补。天然气管道安装费用按《区政府办公室转发区发展改革委等部门关于清理规范城镇供水供电供气供暖行业收费促进行业高质量发展实施细则的通知》（大政办发〔2021〕55号）中“接入工程是指从用户建筑区划红线连接至公共管网发生的入网工程。2021年3月1日以后通过出让或划拨等方式取得土地使用权的城镇规划建设用地项目，供水供电供气供热企业的投资界面应延伸至用户建筑区划红线，除法律法规和相关政策另有规定外，不得由用户承担建筑区划红线外发生的任何费用”为依据，由管道天然气经营企业快速报价并经区发改委</w:t>
      </w:r>
      <w:r>
        <w:rPr>
          <w:rFonts w:hint="eastAsia" w:ascii="仿宋" w:hAnsi="仿宋" w:eastAsia="仿宋" w:cs="仿宋"/>
          <w:sz w:val="32"/>
          <w:szCs w:val="32"/>
          <w:lang w:eastAsia="zh-CN"/>
        </w:rPr>
        <w:t>、</w:t>
      </w:r>
      <w:r>
        <w:rPr>
          <w:rFonts w:hint="eastAsia" w:ascii="仿宋" w:hAnsi="仿宋" w:eastAsia="仿宋" w:cs="仿宋"/>
          <w:sz w:val="32"/>
          <w:szCs w:val="32"/>
        </w:rPr>
        <w:t>审计局联合核定后施行。政府奖补资金由区住建局审核汇总，区财政局安排专项资金给予拨付。</w:t>
      </w:r>
    </w:p>
    <w:bookmarkEnd w:id="20"/>
    <w:p>
      <w:pPr>
        <w:spacing w:line="520" w:lineRule="exact"/>
        <w:ind w:firstLine="640" w:firstLineChars="200"/>
        <w:rPr>
          <w:rFonts w:ascii="仿宋" w:hAnsi="仿宋" w:eastAsia="仿宋" w:cs="仿宋"/>
          <w:sz w:val="32"/>
          <w:szCs w:val="32"/>
        </w:rPr>
      </w:pPr>
      <w:bookmarkStart w:id="21" w:name="OLE_LINK20"/>
      <w:r>
        <w:rPr>
          <w:rFonts w:hint="eastAsia" w:ascii="仿宋" w:hAnsi="仿宋" w:eastAsia="仿宋" w:cs="仿宋"/>
          <w:sz w:val="32"/>
          <w:szCs w:val="32"/>
        </w:rPr>
        <w:t>针对餐饮场所“瓶改管”工作实施范围第一类的“弱、小、散”类型餐饮场所，天然气管道安装费惠民鼓励政策自即日起至2023年12月31日止，采取“用户承担50%、企业承担30%、政府承担20%”的惠民鼓励政策。</w:t>
      </w:r>
    </w:p>
    <w:p>
      <w:pPr>
        <w:spacing w:line="520" w:lineRule="exact"/>
        <w:ind w:firstLine="640" w:firstLineChars="200"/>
        <w:rPr>
          <w:rFonts w:ascii="仿宋" w:hAnsi="仿宋" w:eastAsia="仿宋" w:cs="仿宋"/>
          <w:sz w:val="32"/>
          <w:szCs w:val="32"/>
        </w:rPr>
      </w:pPr>
      <w:bookmarkStart w:id="22" w:name="OLE_LINK22"/>
      <w:r>
        <w:rPr>
          <w:rFonts w:hint="eastAsia" w:ascii="仿宋" w:hAnsi="仿宋" w:eastAsia="仿宋" w:cs="仿宋"/>
          <w:sz w:val="32"/>
          <w:szCs w:val="32"/>
        </w:rPr>
        <w:t>针对第二类大型餐饮场所和第三类单位食堂等，由产权单位全额出资改造，确保开工前资金到位，将费用交纳管道天然气经营企业。管道天然气企业每月末将餐饮场所“瓶改管”工作完成情况汇总报区住建局。</w:t>
      </w:r>
      <w:bookmarkEnd w:id="21"/>
    </w:p>
    <w:bookmarkEnd w:id="22"/>
    <w:p>
      <w:pPr>
        <w:spacing w:line="520" w:lineRule="exact"/>
        <w:ind w:firstLine="480" w:firstLineChars="150"/>
        <w:rPr>
          <w:rFonts w:ascii="仿宋" w:hAnsi="仿宋" w:eastAsia="仿宋" w:cs="仿宋"/>
          <w:sz w:val="32"/>
          <w:szCs w:val="32"/>
        </w:rPr>
      </w:pPr>
      <w:bookmarkStart w:id="23" w:name="OLE_LINK21"/>
      <w:r>
        <w:rPr>
          <w:rFonts w:hint="eastAsia" w:ascii="仿宋" w:hAnsi="仿宋" w:eastAsia="仿宋" w:cs="仿宋"/>
          <w:sz w:val="32"/>
          <w:szCs w:val="32"/>
        </w:rPr>
        <w:t>（三）开辟绿色通道，提供政策支持。各有关部门开辟行政审批和协调服务“绿色通道”，为餐饮场所“瓶改管”项目报批、施工等提供指导帮助。改造期间的道路沟槽回填、路面恢复由现场施工单位在相关机构监督下，按不低于原设施标准和规定实施，并承担沟槽回填、路面恢复的质量安全责任，道路恢复应与原路面顺接并保修一年。为办好惠民利民的民生实事，应避免重复发生费用，对转换工作涉及的道路挖掘占用费、渣土费等行政事业性收费按政策给予优惠。</w:t>
      </w:r>
    </w:p>
    <w:bookmarkEnd w:id="23"/>
    <w:p>
      <w:pPr>
        <w:spacing w:line="520" w:lineRule="exact"/>
        <w:ind w:firstLine="480" w:firstLineChars="150"/>
        <w:rPr>
          <w:rFonts w:ascii="仿宋" w:hAnsi="仿宋" w:eastAsia="仿宋" w:cs="仿宋"/>
          <w:sz w:val="32"/>
          <w:szCs w:val="32"/>
        </w:rPr>
      </w:pPr>
      <w:bookmarkStart w:id="24" w:name="OLE_LINK23"/>
      <w:r>
        <w:rPr>
          <w:rFonts w:hint="eastAsia" w:ascii="仿宋" w:hAnsi="仿宋" w:eastAsia="仿宋" w:cs="仿宋"/>
          <w:sz w:val="32"/>
          <w:szCs w:val="32"/>
        </w:rPr>
        <w:t>（四）严格督促检查，确保责任落实。“瓶改管”工作领导小组加强转换全过程的督促检查、跟踪落实及考核奖惩，建立并实施餐饮场所“瓶改管”工作进展情况督促检查及定期报告制度，各街道及相关镇、区园工作开展情况于每月末报区住建局汇总后，由区住建局定期向区政府报告。各街道及相关镇、区园、有关部门和单位要积极履行工作职责，确保转换工作顺利推进。</w:t>
      </w:r>
    </w:p>
    <w:bookmarkEnd w:id="24"/>
    <w:p>
      <w:pPr>
        <w:spacing w:line="520" w:lineRule="exact"/>
        <w:ind w:firstLine="480" w:firstLineChars="150"/>
        <w:rPr>
          <w:rFonts w:ascii="仿宋" w:hAnsi="仿宋" w:eastAsia="仿宋" w:cs="仿宋"/>
          <w:sz w:val="32"/>
          <w:szCs w:val="32"/>
        </w:rPr>
      </w:pPr>
      <w:bookmarkStart w:id="25" w:name="OLE_LINK24"/>
      <w:r>
        <w:rPr>
          <w:rFonts w:hint="eastAsia" w:ascii="仿宋" w:hAnsi="仿宋" w:eastAsia="仿宋" w:cs="仿宋"/>
          <w:sz w:val="32"/>
          <w:szCs w:val="32"/>
        </w:rPr>
        <w:t>（五）广泛宣传发动，营造良好氛围。在日常管理中，重点督促餐饮场所将使用燃气的厨房靠外墙设置，确有困难的应在合理位置设置通风、泄爆口；厨房内必须安装可燃气体泄漏报警切断装置及自动喷水灭火系统，确有困难的可采用简易喷淋系统；厨房应与餐饮场所其他区域进行防火分隔。各街道及相关镇、区园、有关部门和单位应针对性地开展宣传和舆论引导，通过电视、网络、报纸等多种方式普及安全供气和用气常识，让广大餐饮用户和居民群众知晓瓶装液化石油气转换管道天然气工作的益处，避免抵触畏难情绪，统一思想、增进共识，共同营造良好的工作氛围。</w:t>
      </w:r>
    </w:p>
    <w:bookmarkEnd w:id="25"/>
    <w:p>
      <w:pPr>
        <w:spacing w:line="520" w:lineRule="exact"/>
        <w:ind w:firstLine="640" w:firstLineChars="200"/>
        <w:rPr>
          <w:rFonts w:hint="eastAsia" w:ascii="仿宋" w:hAnsi="仿宋" w:eastAsia="仿宋" w:cs="仿宋"/>
          <w:sz w:val="32"/>
          <w:szCs w:val="32"/>
        </w:rPr>
      </w:pPr>
      <w:bookmarkStart w:id="26" w:name="OLE_LINK25"/>
      <w:r>
        <w:rPr>
          <w:rFonts w:hint="eastAsia" w:ascii="仿宋" w:hAnsi="仿宋" w:eastAsia="仿宋" w:cs="仿宋"/>
          <w:sz w:val="32"/>
          <w:szCs w:val="32"/>
        </w:rPr>
        <w:t>其他镇、区园的餐饮场所“瓶改管”工作参照本方案执行。</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附件：1.大丰区餐饮场所瓶装液化石油气转换管道天然气</w:t>
      </w:r>
    </w:p>
    <w:p>
      <w:pPr>
        <w:spacing w:line="520" w:lineRule="exact"/>
        <w:ind w:firstLine="1760" w:firstLineChars="550"/>
        <w:rPr>
          <w:rFonts w:ascii="仿宋" w:hAnsi="仿宋" w:eastAsia="仿宋" w:cs="仿宋"/>
          <w:sz w:val="32"/>
          <w:szCs w:val="32"/>
        </w:rPr>
      </w:pPr>
      <w:r>
        <w:rPr>
          <w:rFonts w:hint="eastAsia" w:ascii="仿宋" w:hAnsi="仿宋" w:eastAsia="仿宋" w:cs="仿宋"/>
          <w:sz w:val="32"/>
          <w:szCs w:val="32"/>
        </w:rPr>
        <w:t>工作领导小组</w:t>
      </w:r>
    </w:p>
    <w:p>
      <w:pPr>
        <w:spacing w:line="520" w:lineRule="exact"/>
        <w:ind w:firstLine="1417" w:firstLineChars="443"/>
        <w:rPr>
          <w:rFonts w:ascii="仿宋" w:hAnsi="仿宋" w:eastAsia="仿宋" w:cs="仿宋"/>
          <w:sz w:val="32"/>
          <w:szCs w:val="32"/>
        </w:rPr>
      </w:pPr>
      <w:r>
        <w:rPr>
          <w:rFonts w:hint="eastAsia" w:ascii="仿宋" w:hAnsi="仿宋" w:eastAsia="仿宋" w:cs="仿宋"/>
          <w:sz w:val="32"/>
          <w:szCs w:val="32"/>
        </w:rPr>
        <w:t>2.大丰区餐饮场所“瓶改管”奖补资金申请表</w:t>
      </w:r>
    </w:p>
    <w:p>
      <w:pPr>
        <w:spacing w:line="520" w:lineRule="exact"/>
        <w:ind w:firstLine="1417" w:firstLineChars="443"/>
        <w:rPr>
          <w:rFonts w:ascii="仿宋" w:hAnsi="仿宋" w:eastAsia="仿宋" w:cs="仿宋"/>
          <w:sz w:val="32"/>
          <w:szCs w:val="32"/>
        </w:rPr>
      </w:pPr>
      <w:r>
        <w:rPr>
          <w:rFonts w:hint="eastAsia" w:ascii="仿宋" w:hAnsi="仿宋" w:eastAsia="仿宋" w:cs="仿宋"/>
          <w:sz w:val="32"/>
          <w:szCs w:val="32"/>
        </w:rPr>
        <w:t>3.大丰区餐饮场所“瓶改管”工作成员单位联系表</w:t>
      </w:r>
    </w:p>
    <w:p>
      <w:pPr>
        <w:spacing w:line="520" w:lineRule="exact"/>
        <w:ind w:firstLine="1440" w:firstLineChars="450"/>
        <w:rPr>
          <w:rFonts w:ascii="仿宋" w:hAnsi="仿宋" w:eastAsia="仿宋" w:cs="仿宋"/>
          <w:sz w:val="32"/>
          <w:szCs w:val="32"/>
        </w:rPr>
      </w:pPr>
      <w:r>
        <w:rPr>
          <w:rFonts w:hint="eastAsia" w:ascii="仿宋" w:hAnsi="仿宋" w:eastAsia="仿宋" w:cs="仿宋"/>
          <w:sz w:val="32"/>
          <w:szCs w:val="32"/>
        </w:rPr>
        <w:t>4.大丰区餐饮场所“瓶改管”工作月度汇总表</w:t>
      </w:r>
    </w:p>
    <w:p>
      <w:pPr>
        <w:spacing w:line="520" w:lineRule="exact"/>
        <w:ind w:firstLine="1440" w:firstLineChars="450"/>
        <w:rPr>
          <w:rFonts w:ascii="仿宋" w:hAnsi="仿宋" w:eastAsia="仿宋" w:cs="仿宋"/>
          <w:sz w:val="32"/>
          <w:szCs w:val="32"/>
        </w:rPr>
      </w:pPr>
      <w:r>
        <w:rPr>
          <w:rFonts w:hint="eastAsia" w:ascii="仿宋" w:hAnsi="仿宋" w:eastAsia="仿宋" w:cs="仿宋"/>
          <w:sz w:val="32"/>
          <w:szCs w:val="32"/>
        </w:rPr>
        <w:t>5.大丰区餐饮场所“瓶改管”工作基本情况调查表</w:t>
      </w:r>
    </w:p>
    <w:p>
      <w:pPr>
        <w:spacing w:line="520" w:lineRule="exact"/>
        <w:ind w:firstLine="4160" w:firstLineChars="1300"/>
        <w:rPr>
          <w:rFonts w:ascii="仿宋" w:hAnsi="仿宋" w:eastAsia="仿宋" w:cs="仿宋"/>
          <w:sz w:val="32"/>
          <w:szCs w:val="32"/>
        </w:rPr>
      </w:pPr>
    </w:p>
    <w:bookmarkEnd w:id="26"/>
    <w:p>
      <w:pPr>
        <w:spacing w:line="520" w:lineRule="exact"/>
        <w:ind w:firstLine="4160" w:firstLineChars="1300"/>
        <w:rPr>
          <w:rFonts w:ascii="仿宋" w:hAnsi="仿宋" w:eastAsia="仿宋" w:cs="仿宋"/>
          <w:sz w:val="32"/>
          <w:szCs w:val="32"/>
        </w:rPr>
      </w:pPr>
    </w:p>
    <w:p>
      <w:pPr>
        <w:jc w:val="center"/>
        <w:rPr>
          <w:rFonts w:ascii="宋体" w:hAnsi="宋体" w:eastAsia="宋体" w:cs="宋体"/>
          <w:sz w:val="28"/>
          <w:szCs w:val="28"/>
        </w:rPr>
      </w:pPr>
    </w:p>
    <w:p>
      <w:pPr>
        <w:jc w:val="center"/>
        <w:rPr>
          <w:rFonts w:ascii="宋体" w:hAnsi="宋体" w:eastAsia="宋体" w:cs="宋体"/>
          <w:sz w:val="28"/>
          <w:szCs w:val="28"/>
        </w:rPr>
      </w:pPr>
    </w:p>
    <w:p>
      <w:pPr>
        <w:pStyle w:val="2"/>
      </w:pPr>
    </w:p>
    <w:p/>
    <w:p>
      <w:pPr>
        <w:pStyle w:val="2"/>
      </w:pPr>
    </w:p>
    <w:p/>
    <w:p>
      <w:pPr>
        <w:jc w:val="both"/>
        <w:rPr>
          <w:rFonts w:ascii="宋体" w:hAnsi="宋体" w:eastAsia="宋体" w:cs="宋体"/>
          <w:sz w:val="28"/>
          <w:szCs w:val="28"/>
        </w:rPr>
      </w:pPr>
    </w:p>
    <w:p/>
    <w:p>
      <w:pPr>
        <w:spacing w:line="520" w:lineRule="exact"/>
        <w:rPr>
          <w:rFonts w:ascii="宋体" w:hAnsi="宋体" w:eastAsia="宋体" w:cs="宋体"/>
          <w:b/>
          <w:sz w:val="28"/>
          <w:szCs w:val="28"/>
        </w:rPr>
      </w:pPr>
      <w:r>
        <w:rPr>
          <w:rFonts w:hint="eastAsia" w:ascii="宋体" w:hAnsi="宋体" w:eastAsia="宋体" w:cs="宋体"/>
          <w:b/>
          <w:sz w:val="28"/>
          <w:szCs w:val="28"/>
        </w:rPr>
        <w:t>附件1</w:t>
      </w:r>
    </w:p>
    <w:p>
      <w:pPr>
        <w:pStyle w:val="2"/>
        <w:spacing w:beforeAutospacing="0" w:afterAutospacing="0" w:line="520" w:lineRule="exact"/>
        <w:rPr>
          <w:rFonts w:asciiTheme="majorEastAsia" w:hAnsiTheme="majorEastAsia" w:eastAsiaTheme="majorEastAsia" w:cstheme="majorEastAsia"/>
          <w:b w:val="0"/>
          <w:bCs/>
        </w:rPr>
      </w:pPr>
    </w:p>
    <w:p>
      <w:pPr>
        <w:spacing w:line="60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大丰区餐饮场所瓶装液化石油气转换管道</w:t>
      </w:r>
    </w:p>
    <w:p>
      <w:pPr>
        <w:spacing w:line="60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天然气工作领导小组</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为推动大丰区城区及相关镇、区园餐饮场所瓶装液化石油气转换管道天然气工作。经研究，决定成立大丰区餐饮场所瓶装液化石油气转换管道天然气工作领导小组，成员名单如下：</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组  长：薛文杰  区政府  副区长</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副组长：陈国军  区住建局  局长</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成  员：王永根  区住建局  副局长</w:t>
      </w:r>
    </w:p>
    <w:p>
      <w:pPr>
        <w:tabs>
          <w:tab w:val="left" w:pos="3396"/>
        </w:tabs>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李国良  区</w:t>
      </w:r>
      <w:r>
        <w:rPr>
          <w:rFonts w:hint="eastAsia" w:ascii="仿宋" w:hAnsi="仿宋" w:eastAsia="仿宋" w:cs="仿宋"/>
          <w:sz w:val="32"/>
          <w:szCs w:val="32"/>
          <w:lang w:val="en-US" w:eastAsia="zh-CN"/>
        </w:rPr>
        <w:t>应急管理局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安办专职</w:t>
      </w:r>
      <w:r>
        <w:rPr>
          <w:rFonts w:hint="eastAsia" w:ascii="仿宋" w:hAnsi="仿宋" w:eastAsia="仿宋" w:cs="仿宋"/>
          <w:sz w:val="32"/>
          <w:szCs w:val="32"/>
        </w:rPr>
        <w:t>副主任</w:t>
      </w:r>
    </w:p>
    <w:p>
      <w:pPr>
        <w:tabs>
          <w:tab w:val="left" w:pos="345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陈志祥  区城管局  执法大队大队长</w:t>
      </w:r>
    </w:p>
    <w:p>
      <w:pPr>
        <w:tabs>
          <w:tab w:val="left" w:pos="357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陈  海  区商务局  副局长</w:t>
      </w:r>
    </w:p>
    <w:p>
      <w:pPr>
        <w:tabs>
          <w:tab w:val="left" w:pos="3531"/>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倪  红  区文旅局  副局长</w:t>
      </w:r>
    </w:p>
    <w:p>
      <w:pPr>
        <w:tabs>
          <w:tab w:val="left" w:pos="3471"/>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孙从亮  区卫健委  副主任</w:t>
      </w:r>
    </w:p>
    <w:p>
      <w:pPr>
        <w:tabs>
          <w:tab w:val="left" w:pos="3396"/>
        </w:tabs>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曹  冰  区财政局   副局长</w:t>
      </w:r>
    </w:p>
    <w:p>
      <w:pPr>
        <w:tabs>
          <w:tab w:val="left" w:pos="3471"/>
        </w:tabs>
        <w:spacing w:line="520" w:lineRule="exact"/>
        <w:ind w:firstLine="1920" w:firstLineChars="600"/>
        <w:rPr>
          <w:rFonts w:ascii="仿宋" w:hAnsi="仿宋" w:eastAsia="仿宋" w:cs="仿宋"/>
          <w:sz w:val="32"/>
          <w:szCs w:val="32"/>
        </w:rPr>
      </w:pPr>
      <w:r>
        <w:rPr>
          <w:rFonts w:hint="eastAsia" w:ascii="仿宋" w:hAnsi="仿宋" w:eastAsia="仿宋" w:cs="仿宋"/>
          <w:sz w:val="32"/>
          <w:szCs w:val="32"/>
        </w:rPr>
        <w:t>张荣成  区消防救援大队  专业技术员</w:t>
      </w:r>
    </w:p>
    <w:p>
      <w:pPr>
        <w:tabs>
          <w:tab w:val="center" w:pos="4153"/>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吕金生  区审计局  副局长</w:t>
      </w:r>
    </w:p>
    <w:p>
      <w:pPr>
        <w:tabs>
          <w:tab w:val="left" w:pos="339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金  军  区市场监管局  副局长</w:t>
      </w:r>
    </w:p>
    <w:p>
      <w:pPr>
        <w:tabs>
          <w:tab w:val="left" w:pos="339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冯慧琴  区教育局  教育督导室主任</w:t>
      </w:r>
    </w:p>
    <w:p>
      <w:pPr>
        <w:tabs>
          <w:tab w:val="left" w:pos="339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吴  淳  区民政局  副局长</w:t>
      </w:r>
    </w:p>
    <w:p>
      <w:pPr>
        <w:tabs>
          <w:tab w:val="center" w:pos="4153"/>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赵建荣  区公安局  副局长</w:t>
      </w:r>
    </w:p>
    <w:p>
      <w:pPr>
        <w:tabs>
          <w:tab w:val="center" w:pos="4153"/>
        </w:tabs>
        <w:spacing w:line="520" w:lineRule="exact"/>
        <w:ind w:firstLine="1952" w:firstLineChars="610"/>
        <w:jc w:val="left"/>
        <w:rPr>
          <w:rFonts w:ascii="仿宋" w:hAnsi="仿宋" w:eastAsia="仿宋" w:cs="仿宋"/>
          <w:sz w:val="32"/>
          <w:szCs w:val="32"/>
        </w:rPr>
      </w:pPr>
      <w:r>
        <w:rPr>
          <w:rFonts w:hint="eastAsia" w:ascii="仿宋" w:hAnsi="仿宋" w:eastAsia="仿宋" w:cs="仿宋"/>
          <w:sz w:val="32"/>
          <w:szCs w:val="32"/>
        </w:rPr>
        <w:t>陈  炜  大中街道  党委副书记</w:t>
      </w:r>
    </w:p>
    <w:p>
      <w:pPr>
        <w:tabs>
          <w:tab w:val="left" w:pos="2826"/>
        </w:tabs>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杨  波  丰华街道  副主任</w:t>
      </w:r>
    </w:p>
    <w:p>
      <w:pPr>
        <w:spacing w:line="520" w:lineRule="exact"/>
        <w:ind w:firstLine="1952" w:firstLineChars="610"/>
        <w:rPr>
          <w:rFonts w:ascii="仿宋" w:hAnsi="仿宋" w:eastAsia="仿宋" w:cs="仿宋"/>
          <w:sz w:val="32"/>
          <w:szCs w:val="32"/>
        </w:rPr>
      </w:pPr>
      <w:r>
        <w:rPr>
          <w:rFonts w:hint="eastAsia" w:ascii="仿宋" w:hAnsi="仿宋" w:eastAsia="仿宋" w:cs="仿宋"/>
          <w:sz w:val="32"/>
          <w:szCs w:val="32"/>
        </w:rPr>
        <w:t>梅海江  新丰镇  副镇长</w:t>
      </w:r>
    </w:p>
    <w:p>
      <w:pPr>
        <w:tabs>
          <w:tab w:val="center" w:pos="4153"/>
        </w:tabs>
        <w:spacing w:line="520" w:lineRule="exact"/>
        <w:ind w:firstLine="1952" w:firstLineChars="610"/>
        <w:jc w:val="left"/>
      </w:pPr>
      <w:r>
        <w:rPr>
          <w:rFonts w:hint="eastAsia" w:ascii="仿宋" w:hAnsi="仿宋" w:eastAsia="仿宋" w:cs="仿宋"/>
          <w:sz w:val="32"/>
          <w:szCs w:val="32"/>
        </w:rPr>
        <w:t>吕文斌  开发区  项目中心主任</w:t>
      </w:r>
    </w:p>
    <w:p>
      <w:pPr>
        <w:spacing w:line="520" w:lineRule="exact"/>
        <w:ind w:firstLine="1952" w:firstLineChars="610"/>
        <w:rPr>
          <w:rFonts w:hint="eastAsia" w:ascii="仿宋" w:hAnsi="仿宋" w:eastAsia="仿宋" w:cs="仿宋"/>
          <w:sz w:val="32"/>
          <w:szCs w:val="32"/>
        </w:rPr>
      </w:pPr>
      <w:r>
        <w:rPr>
          <w:rFonts w:hint="eastAsia" w:ascii="仿宋" w:hAnsi="仿宋" w:eastAsia="仿宋" w:cs="仿宋"/>
          <w:sz w:val="32"/>
          <w:szCs w:val="32"/>
        </w:rPr>
        <w:t>杜卫国  大丰港区  副主任</w:t>
      </w:r>
    </w:p>
    <w:p>
      <w:pPr>
        <w:pStyle w:val="2"/>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领导小组下设办公室，办公室设在区住建局，王永根同志兼任办公室主任，统筹协调推进大丰区城区及相关镇、区园餐饮场所瓶装液化石油气转换管道天然气工作。</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pStyle w:val="2"/>
        <w:rPr>
          <w:rFonts w:cs="宋体"/>
          <w:sz w:val="28"/>
          <w:szCs w:val="28"/>
        </w:rPr>
      </w:pPr>
    </w:p>
    <w:p/>
    <w:p>
      <w:pPr>
        <w:spacing w:line="520" w:lineRule="exact"/>
        <w:rPr>
          <w:rFonts w:ascii="宋体" w:hAnsi="宋体" w:eastAsia="宋体" w:cs="宋体"/>
          <w:b/>
          <w:sz w:val="28"/>
          <w:szCs w:val="28"/>
        </w:rPr>
      </w:pPr>
    </w:p>
    <w:p>
      <w:pPr>
        <w:spacing w:line="520" w:lineRule="exact"/>
        <w:rPr>
          <w:rFonts w:ascii="宋体" w:hAnsi="宋体" w:eastAsia="宋体" w:cs="宋体"/>
          <w:b/>
          <w:sz w:val="28"/>
          <w:szCs w:val="28"/>
        </w:rPr>
      </w:pPr>
      <w:r>
        <w:rPr>
          <w:rFonts w:hint="eastAsia" w:ascii="宋体" w:hAnsi="宋体" w:eastAsia="宋体" w:cs="宋体"/>
          <w:b/>
          <w:sz w:val="28"/>
          <w:szCs w:val="28"/>
        </w:rPr>
        <w:t>附件2</w:t>
      </w:r>
    </w:p>
    <w:p>
      <w:pPr>
        <w:jc w:val="center"/>
      </w:pPr>
      <w:r>
        <w:rPr>
          <w:rFonts w:hint="eastAsia" w:asciiTheme="majorEastAsia" w:hAnsiTheme="majorEastAsia" w:eastAsiaTheme="majorEastAsia" w:cstheme="majorEastAsia"/>
          <w:b/>
          <w:sz w:val="44"/>
          <w:szCs w:val="44"/>
        </w:rPr>
        <w:t>大丰区餐饮场所“瓶改管”奖补资金申请表</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2679"/>
        <w:gridCol w:w="1904"/>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4" w:type="dxa"/>
            <w:vAlign w:val="center"/>
          </w:tcPr>
          <w:p>
            <w:pPr>
              <w:jc w:val="center"/>
              <w:rPr>
                <w:rFonts w:ascii="宋体" w:hAnsi="宋体" w:eastAsia="宋体" w:cs="宋体"/>
                <w:sz w:val="24"/>
              </w:rPr>
            </w:pPr>
            <w:r>
              <w:rPr>
                <w:rFonts w:hint="eastAsia" w:ascii="宋体" w:hAnsi="宋体" w:eastAsia="宋体" w:cs="宋体"/>
                <w:sz w:val="24"/>
              </w:rPr>
              <w:t>餐饮单位名称</w:t>
            </w:r>
          </w:p>
        </w:tc>
        <w:tc>
          <w:tcPr>
            <w:tcW w:w="2679" w:type="dxa"/>
            <w:vAlign w:val="center"/>
          </w:tcPr>
          <w:p>
            <w:pPr>
              <w:jc w:val="center"/>
              <w:rPr>
                <w:rFonts w:ascii="宋体" w:hAnsi="宋体" w:eastAsia="宋体" w:cs="宋体"/>
                <w:sz w:val="24"/>
              </w:rPr>
            </w:pPr>
          </w:p>
        </w:tc>
        <w:tc>
          <w:tcPr>
            <w:tcW w:w="1904" w:type="dxa"/>
            <w:vAlign w:val="center"/>
          </w:tcPr>
          <w:p>
            <w:pPr>
              <w:jc w:val="center"/>
              <w:rPr>
                <w:rFonts w:ascii="宋体" w:hAnsi="宋体" w:eastAsia="宋体" w:cs="宋体"/>
                <w:sz w:val="24"/>
              </w:rPr>
            </w:pPr>
            <w:r>
              <w:rPr>
                <w:rFonts w:hint="eastAsia" w:ascii="宋体" w:hAnsi="宋体" w:eastAsia="宋体" w:cs="宋体"/>
                <w:sz w:val="24"/>
              </w:rPr>
              <w:t>工商登记名</w:t>
            </w:r>
          </w:p>
        </w:tc>
        <w:tc>
          <w:tcPr>
            <w:tcW w:w="223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34" w:type="dxa"/>
            <w:vAlign w:val="center"/>
          </w:tcPr>
          <w:p>
            <w:pPr>
              <w:jc w:val="center"/>
              <w:rPr>
                <w:rFonts w:ascii="宋体" w:hAnsi="宋体" w:eastAsia="宋体" w:cs="宋体"/>
                <w:sz w:val="24"/>
              </w:rPr>
            </w:pPr>
            <w:r>
              <w:rPr>
                <w:rFonts w:hint="eastAsia" w:ascii="宋体" w:hAnsi="宋体" w:eastAsia="宋体" w:cs="宋体"/>
                <w:sz w:val="24"/>
              </w:rPr>
              <w:t>注册地址（具体到门牌号）</w:t>
            </w:r>
          </w:p>
        </w:tc>
        <w:tc>
          <w:tcPr>
            <w:tcW w:w="6821"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34" w:type="dxa"/>
            <w:vAlign w:val="center"/>
          </w:tcPr>
          <w:p>
            <w:pPr>
              <w:jc w:val="center"/>
              <w:rPr>
                <w:rFonts w:ascii="宋体" w:hAnsi="宋体" w:eastAsia="宋体" w:cs="宋体"/>
                <w:sz w:val="24"/>
              </w:rPr>
            </w:pPr>
            <w:r>
              <w:rPr>
                <w:rFonts w:hint="eastAsia" w:ascii="宋体" w:hAnsi="宋体" w:eastAsia="宋体" w:cs="宋体"/>
                <w:sz w:val="24"/>
              </w:rPr>
              <w:t>供气单位</w:t>
            </w:r>
          </w:p>
        </w:tc>
        <w:tc>
          <w:tcPr>
            <w:tcW w:w="2679" w:type="dxa"/>
            <w:vAlign w:val="center"/>
          </w:tcPr>
          <w:p>
            <w:pPr>
              <w:jc w:val="center"/>
              <w:rPr>
                <w:rFonts w:ascii="宋体" w:hAnsi="宋体" w:eastAsia="宋体" w:cs="宋体"/>
                <w:sz w:val="24"/>
              </w:rPr>
            </w:pPr>
          </w:p>
        </w:tc>
        <w:tc>
          <w:tcPr>
            <w:tcW w:w="1904" w:type="dxa"/>
            <w:vAlign w:val="center"/>
          </w:tcPr>
          <w:p>
            <w:pPr>
              <w:jc w:val="center"/>
              <w:rPr>
                <w:rFonts w:ascii="宋体" w:hAnsi="宋体" w:eastAsia="宋体" w:cs="宋体"/>
                <w:sz w:val="24"/>
              </w:rPr>
            </w:pPr>
            <w:r>
              <w:rPr>
                <w:rFonts w:hint="eastAsia" w:ascii="宋体" w:hAnsi="宋体" w:eastAsia="宋体" w:cs="宋体"/>
                <w:sz w:val="24"/>
              </w:rPr>
              <w:t>供气合同编号</w:t>
            </w:r>
          </w:p>
        </w:tc>
        <w:tc>
          <w:tcPr>
            <w:tcW w:w="223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34" w:type="dxa"/>
            <w:vMerge w:val="restart"/>
            <w:vAlign w:val="center"/>
          </w:tcPr>
          <w:p>
            <w:pPr>
              <w:jc w:val="center"/>
              <w:rPr>
                <w:rFonts w:ascii="宋体" w:hAnsi="宋体" w:eastAsia="宋体" w:cs="宋体"/>
                <w:sz w:val="24"/>
              </w:rPr>
            </w:pPr>
            <w:r>
              <w:rPr>
                <w:rFonts w:hint="eastAsia" w:ascii="宋体" w:hAnsi="宋体" w:eastAsia="宋体" w:cs="宋体"/>
                <w:sz w:val="24"/>
              </w:rPr>
              <w:t>房屋产权方</w:t>
            </w:r>
          </w:p>
        </w:tc>
        <w:tc>
          <w:tcPr>
            <w:tcW w:w="2679" w:type="dxa"/>
            <w:vAlign w:val="center"/>
          </w:tcPr>
          <w:p>
            <w:pPr>
              <w:jc w:val="center"/>
              <w:rPr>
                <w:rFonts w:ascii="宋体" w:hAnsi="宋体" w:eastAsia="宋体" w:cs="宋体"/>
                <w:sz w:val="24"/>
              </w:rPr>
            </w:pPr>
            <w:r>
              <w:rPr>
                <w:rFonts w:hint="eastAsia" w:ascii="宋体" w:hAnsi="宋体" w:eastAsia="宋体" w:cs="宋体"/>
                <w:sz w:val="24"/>
              </w:rPr>
              <w:t>单位名称／产权人姓名</w:t>
            </w:r>
          </w:p>
        </w:tc>
        <w:tc>
          <w:tcPr>
            <w:tcW w:w="4142" w:type="dxa"/>
            <w:gridSpan w:val="2"/>
            <w:vAlign w:val="center"/>
          </w:tcPr>
          <w:p>
            <w:pPr>
              <w:jc w:val="center"/>
              <w:rPr>
                <w:rFonts w:ascii="宋体" w:hAnsi="宋体" w:eastAsia="宋体" w:cs="宋体"/>
                <w:sz w:val="24"/>
              </w:rPr>
            </w:pPr>
            <w:r>
              <w:rPr>
                <w:rFonts w:hint="eastAsia" w:ascii="宋体" w:hAnsi="宋体" w:eastAsia="宋体" w:cs="宋体"/>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34" w:type="dxa"/>
            <w:vMerge w:val="continue"/>
            <w:vAlign w:val="center"/>
          </w:tcPr>
          <w:p>
            <w:pPr>
              <w:jc w:val="center"/>
              <w:rPr>
                <w:rFonts w:ascii="宋体" w:hAnsi="宋体" w:eastAsia="宋体" w:cs="宋体"/>
                <w:sz w:val="24"/>
              </w:rPr>
            </w:pPr>
          </w:p>
        </w:tc>
        <w:tc>
          <w:tcPr>
            <w:tcW w:w="2679" w:type="dxa"/>
            <w:vAlign w:val="center"/>
          </w:tcPr>
          <w:p>
            <w:pPr>
              <w:jc w:val="center"/>
              <w:rPr>
                <w:rFonts w:ascii="宋体" w:hAnsi="宋体" w:eastAsia="宋体" w:cs="宋体"/>
                <w:sz w:val="24"/>
              </w:rPr>
            </w:pPr>
            <w:r>
              <w:rPr>
                <w:rFonts w:hint="eastAsia" w:ascii="宋体" w:hAnsi="宋体" w:eastAsia="宋体" w:cs="宋体"/>
                <w:sz w:val="24"/>
              </w:rPr>
              <w:t>联系电话（手机号码）</w:t>
            </w:r>
          </w:p>
        </w:tc>
        <w:tc>
          <w:tcPr>
            <w:tcW w:w="4142" w:type="dxa"/>
            <w:gridSpan w:val="2"/>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34" w:type="dxa"/>
            <w:vMerge w:val="restart"/>
            <w:vAlign w:val="center"/>
          </w:tcPr>
          <w:p>
            <w:pPr>
              <w:jc w:val="center"/>
              <w:rPr>
                <w:rFonts w:ascii="宋体" w:hAnsi="宋体" w:eastAsia="宋体" w:cs="宋体"/>
                <w:sz w:val="24"/>
              </w:rPr>
            </w:pPr>
            <w:r>
              <w:rPr>
                <w:rFonts w:hint="eastAsia" w:ascii="宋体" w:hAnsi="宋体" w:eastAsia="宋体" w:cs="宋体"/>
                <w:sz w:val="24"/>
              </w:rPr>
              <w:t>承租方（经营户）</w:t>
            </w:r>
          </w:p>
        </w:tc>
        <w:tc>
          <w:tcPr>
            <w:tcW w:w="2679" w:type="dxa"/>
            <w:vAlign w:val="center"/>
          </w:tcPr>
          <w:p>
            <w:pPr>
              <w:jc w:val="center"/>
              <w:rPr>
                <w:rFonts w:ascii="宋体" w:hAnsi="宋体" w:eastAsia="宋体" w:cs="宋体"/>
                <w:sz w:val="24"/>
              </w:rPr>
            </w:pPr>
            <w:r>
              <w:rPr>
                <w:rFonts w:hint="eastAsia" w:ascii="宋体" w:hAnsi="宋体" w:eastAsia="宋体" w:cs="宋体"/>
                <w:sz w:val="24"/>
              </w:rPr>
              <w:t>负责人姓名</w:t>
            </w:r>
          </w:p>
        </w:tc>
        <w:tc>
          <w:tcPr>
            <w:tcW w:w="4142" w:type="dxa"/>
            <w:gridSpan w:val="2"/>
            <w:vAlign w:val="center"/>
          </w:tcPr>
          <w:p>
            <w:pPr>
              <w:jc w:val="center"/>
              <w:rPr>
                <w:rFonts w:ascii="宋体" w:hAnsi="宋体" w:eastAsia="宋体" w:cs="宋体"/>
                <w:sz w:val="24"/>
              </w:rPr>
            </w:pPr>
            <w:r>
              <w:rPr>
                <w:rFonts w:hint="eastAsia" w:ascii="宋体" w:hAnsi="宋体" w:eastAsia="宋体" w:cs="宋体"/>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34" w:type="dxa"/>
            <w:vMerge w:val="continue"/>
            <w:vAlign w:val="center"/>
          </w:tcPr>
          <w:p>
            <w:pPr>
              <w:jc w:val="center"/>
              <w:rPr>
                <w:rFonts w:ascii="宋体" w:hAnsi="宋体" w:eastAsia="宋体" w:cs="宋体"/>
                <w:sz w:val="24"/>
              </w:rPr>
            </w:pPr>
          </w:p>
        </w:tc>
        <w:tc>
          <w:tcPr>
            <w:tcW w:w="2679" w:type="dxa"/>
            <w:vAlign w:val="center"/>
          </w:tcPr>
          <w:p>
            <w:pPr>
              <w:jc w:val="center"/>
              <w:rPr>
                <w:rFonts w:ascii="宋体" w:hAnsi="宋体" w:eastAsia="宋体" w:cs="宋体"/>
                <w:sz w:val="24"/>
              </w:rPr>
            </w:pPr>
            <w:r>
              <w:rPr>
                <w:rFonts w:hint="eastAsia" w:ascii="宋体" w:hAnsi="宋体" w:eastAsia="宋体" w:cs="宋体"/>
                <w:sz w:val="24"/>
              </w:rPr>
              <w:t>联系电话（手机号码）</w:t>
            </w:r>
          </w:p>
        </w:tc>
        <w:tc>
          <w:tcPr>
            <w:tcW w:w="4142" w:type="dxa"/>
            <w:gridSpan w:val="2"/>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934" w:type="dxa"/>
            <w:vMerge w:val="continue"/>
            <w:vAlign w:val="center"/>
          </w:tcPr>
          <w:p>
            <w:pPr>
              <w:jc w:val="center"/>
              <w:rPr>
                <w:rFonts w:ascii="宋体" w:hAnsi="宋体" w:eastAsia="宋体" w:cs="宋体"/>
                <w:sz w:val="24"/>
              </w:rPr>
            </w:pPr>
          </w:p>
        </w:tc>
        <w:tc>
          <w:tcPr>
            <w:tcW w:w="2679" w:type="dxa"/>
            <w:vAlign w:val="center"/>
          </w:tcPr>
          <w:p>
            <w:pPr>
              <w:jc w:val="center"/>
              <w:rPr>
                <w:rFonts w:ascii="宋体" w:hAnsi="宋体" w:eastAsia="宋体" w:cs="宋体"/>
                <w:sz w:val="24"/>
              </w:rPr>
            </w:pPr>
            <w:r>
              <w:rPr>
                <w:rFonts w:hint="eastAsia" w:ascii="宋体" w:hAnsi="宋体" w:eastAsia="宋体" w:cs="宋体"/>
                <w:sz w:val="24"/>
              </w:rPr>
              <w:t>单位人数（人）</w:t>
            </w:r>
          </w:p>
        </w:tc>
        <w:tc>
          <w:tcPr>
            <w:tcW w:w="4142" w:type="dxa"/>
            <w:gridSpan w:val="2"/>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934" w:type="dxa"/>
            <w:vMerge w:val="continue"/>
            <w:vAlign w:val="center"/>
          </w:tcPr>
          <w:p>
            <w:pPr>
              <w:jc w:val="center"/>
              <w:rPr>
                <w:rFonts w:ascii="宋体" w:hAnsi="宋体" w:eastAsia="宋体" w:cs="宋体"/>
                <w:sz w:val="24"/>
              </w:rPr>
            </w:pPr>
          </w:p>
        </w:tc>
        <w:tc>
          <w:tcPr>
            <w:tcW w:w="2679" w:type="dxa"/>
            <w:vAlign w:val="center"/>
          </w:tcPr>
          <w:p>
            <w:pPr>
              <w:jc w:val="center"/>
              <w:rPr>
                <w:rFonts w:ascii="宋体" w:hAnsi="宋体" w:eastAsia="宋体" w:cs="宋体"/>
                <w:sz w:val="24"/>
              </w:rPr>
            </w:pPr>
            <w:r>
              <w:rPr>
                <w:rFonts w:hint="eastAsia" w:ascii="宋体" w:hAnsi="宋体" w:eastAsia="宋体" w:cs="宋体"/>
                <w:sz w:val="24"/>
              </w:rPr>
              <w:t>营业面积（平方米）</w:t>
            </w:r>
          </w:p>
        </w:tc>
        <w:tc>
          <w:tcPr>
            <w:tcW w:w="4142" w:type="dxa"/>
            <w:gridSpan w:val="2"/>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1934" w:type="dxa"/>
            <w:vMerge w:val="continue"/>
            <w:vAlign w:val="center"/>
          </w:tcPr>
          <w:p>
            <w:pPr>
              <w:jc w:val="center"/>
              <w:rPr>
                <w:rFonts w:ascii="宋体" w:hAnsi="宋体" w:eastAsia="宋体" w:cs="宋体"/>
                <w:sz w:val="24"/>
              </w:rPr>
            </w:pPr>
          </w:p>
        </w:tc>
        <w:tc>
          <w:tcPr>
            <w:tcW w:w="2679" w:type="dxa"/>
            <w:vAlign w:val="center"/>
          </w:tcPr>
          <w:p>
            <w:pPr>
              <w:jc w:val="center"/>
              <w:rPr>
                <w:rFonts w:ascii="宋体" w:hAnsi="宋体" w:eastAsia="宋体" w:cs="宋体"/>
                <w:sz w:val="24"/>
              </w:rPr>
            </w:pPr>
            <w:r>
              <w:rPr>
                <w:rFonts w:hint="eastAsia" w:ascii="宋体" w:hAnsi="宋体" w:eastAsia="宋体" w:cs="宋体"/>
                <w:sz w:val="24"/>
              </w:rPr>
              <w:t>燃气具额定流量</w:t>
            </w:r>
          </w:p>
        </w:tc>
        <w:tc>
          <w:tcPr>
            <w:tcW w:w="4142" w:type="dxa"/>
            <w:gridSpan w:val="2"/>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34" w:type="dxa"/>
            <w:vAlign w:val="center"/>
          </w:tcPr>
          <w:p>
            <w:pPr>
              <w:jc w:val="center"/>
              <w:rPr>
                <w:rFonts w:ascii="宋体" w:hAnsi="宋体" w:eastAsia="宋体" w:cs="宋体"/>
                <w:sz w:val="24"/>
              </w:rPr>
            </w:pPr>
            <w:r>
              <w:rPr>
                <w:rFonts w:hint="eastAsia" w:ascii="宋体" w:hAnsi="宋体" w:eastAsia="宋体" w:cs="宋体"/>
                <w:sz w:val="24"/>
              </w:rPr>
              <w:t>天然气管道安装</w:t>
            </w:r>
          </w:p>
          <w:p>
            <w:pPr>
              <w:jc w:val="center"/>
              <w:rPr>
                <w:rFonts w:ascii="宋体" w:hAnsi="宋体" w:eastAsia="宋体" w:cs="宋体"/>
                <w:sz w:val="24"/>
              </w:rPr>
            </w:pPr>
            <w:r>
              <w:rPr>
                <w:rFonts w:hint="eastAsia" w:ascii="宋体" w:hAnsi="宋体" w:eastAsia="宋体" w:cs="宋体"/>
                <w:sz w:val="24"/>
              </w:rPr>
              <w:t>费用（元）</w:t>
            </w:r>
          </w:p>
        </w:tc>
        <w:tc>
          <w:tcPr>
            <w:tcW w:w="2679" w:type="dxa"/>
            <w:vAlign w:val="center"/>
          </w:tcPr>
          <w:p>
            <w:pPr>
              <w:jc w:val="center"/>
              <w:rPr>
                <w:rFonts w:ascii="宋体" w:hAnsi="宋体" w:eastAsia="宋体" w:cs="宋体"/>
                <w:sz w:val="24"/>
              </w:rPr>
            </w:pPr>
          </w:p>
        </w:tc>
        <w:tc>
          <w:tcPr>
            <w:tcW w:w="1904" w:type="dxa"/>
            <w:vAlign w:val="center"/>
          </w:tcPr>
          <w:p>
            <w:pPr>
              <w:jc w:val="center"/>
              <w:rPr>
                <w:rFonts w:ascii="宋体" w:hAnsi="宋体" w:eastAsia="宋体" w:cs="宋体"/>
                <w:sz w:val="24"/>
              </w:rPr>
            </w:pPr>
            <w:r>
              <w:rPr>
                <w:rFonts w:hint="eastAsia" w:ascii="宋体" w:hAnsi="宋体" w:eastAsia="宋体" w:cs="宋体"/>
                <w:sz w:val="24"/>
              </w:rPr>
              <w:t>申报奖补金额（元）</w:t>
            </w:r>
          </w:p>
        </w:tc>
        <w:tc>
          <w:tcPr>
            <w:tcW w:w="2238"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4" w:hRule="atLeast"/>
        </w:trPr>
        <w:tc>
          <w:tcPr>
            <w:tcW w:w="1934" w:type="dxa"/>
            <w:vAlign w:val="center"/>
          </w:tcPr>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申请单位承诺</w:t>
            </w:r>
          </w:p>
        </w:tc>
        <w:tc>
          <w:tcPr>
            <w:tcW w:w="6821" w:type="dxa"/>
            <w:gridSpan w:val="3"/>
            <w:vAlign w:val="center"/>
          </w:tcPr>
          <w:p>
            <w:pPr>
              <w:ind w:firstLine="480" w:firstLineChars="200"/>
              <w:jc w:val="left"/>
              <w:rPr>
                <w:rFonts w:ascii="宋体" w:hAnsi="宋体" w:eastAsia="宋体" w:cs="宋体"/>
                <w:sz w:val="24"/>
              </w:rPr>
            </w:pPr>
            <w:r>
              <w:rPr>
                <w:rFonts w:hint="eastAsia" w:ascii="宋体" w:hAnsi="宋体" w:eastAsia="宋体" w:cs="宋体"/>
                <w:sz w:val="24"/>
              </w:rPr>
              <w:t>本单位（人）经营规范，无违纪违法行为。保证全部申报材料真实、完整、有效。申报的所有复印件均与原件核对无误。愿意接受属地与有关部门的检查监督。</w:t>
            </w: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单位盖章：</w:t>
            </w:r>
          </w:p>
          <w:p>
            <w:pPr>
              <w:jc w:val="center"/>
              <w:rPr>
                <w:rFonts w:ascii="宋体" w:hAnsi="宋体" w:eastAsia="宋体" w:cs="宋体"/>
                <w:sz w:val="24"/>
              </w:rPr>
            </w:pPr>
            <w:r>
              <w:rPr>
                <w:rFonts w:hint="eastAsia" w:ascii="宋体" w:hAnsi="宋体" w:eastAsia="宋体" w:cs="宋体"/>
                <w:sz w:val="24"/>
              </w:rPr>
              <w:t>法人（授权代表人）签字：</w:t>
            </w:r>
          </w:p>
          <w:p>
            <w:pPr>
              <w:jc w:val="center"/>
              <w:rPr>
                <w:rFonts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934" w:type="dxa"/>
            <w:vAlign w:val="center"/>
          </w:tcPr>
          <w:p>
            <w:pPr>
              <w:jc w:val="center"/>
              <w:rPr>
                <w:rFonts w:ascii="宋体" w:hAnsi="宋体" w:eastAsia="宋体" w:cs="宋体"/>
                <w:sz w:val="24"/>
              </w:rPr>
            </w:pPr>
            <w:r>
              <w:rPr>
                <w:rFonts w:hint="eastAsia" w:ascii="宋体" w:hAnsi="宋体" w:eastAsia="宋体" w:cs="宋体"/>
                <w:sz w:val="24"/>
              </w:rPr>
              <w:t>属地意见</w:t>
            </w:r>
          </w:p>
        </w:tc>
        <w:tc>
          <w:tcPr>
            <w:tcW w:w="6821" w:type="dxa"/>
            <w:gridSpan w:val="3"/>
            <w:vAlign w:val="center"/>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（盖章）</w:t>
            </w:r>
          </w:p>
          <w:p>
            <w:pPr>
              <w:jc w:val="left"/>
              <w:rPr>
                <w:rFonts w:ascii="宋体" w:hAnsi="宋体" w:eastAsia="宋体" w:cs="宋体"/>
                <w:sz w:val="24"/>
              </w:rPr>
            </w:pP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934" w:type="dxa"/>
            <w:vAlign w:val="center"/>
          </w:tcPr>
          <w:p>
            <w:pPr>
              <w:jc w:val="center"/>
              <w:rPr>
                <w:rFonts w:ascii="宋体" w:hAnsi="宋体" w:eastAsia="宋体" w:cs="宋体"/>
                <w:sz w:val="24"/>
              </w:rPr>
            </w:pPr>
          </w:p>
          <w:p>
            <w:pPr>
              <w:ind w:firstLine="240" w:firstLineChars="100"/>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区住建部门意见</w:t>
            </w:r>
          </w:p>
          <w:p>
            <w:pPr>
              <w:ind w:firstLine="240" w:firstLineChars="100"/>
              <w:jc w:val="center"/>
              <w:rPr>
                <w:rFonts w:ascii="宋体" w:hAnsi="宋体" w:eastAsia="宋体" w:cs="宋体"/>
                <w:sz w:val="24"/>
              </w:rPr>
            </w:pPr>
          </w:p>
          <w:p>
            <w:pPr>
              <w:ind w:firstLine="240" w:firstLineChars="100"/>
              <w:jc w:val="center"/>
              <w:rPr>
                <w:rFonts w:ascii="宋体" w:hAnsi="宋体" w:eastAsia="宋体" w:cs="宋体"/>
                <w:sz w:val="24"/>
              </w:rPr>
            </w:pPr>
          </w:p>
        </w:tc>
        <w:tc>
          <w:tcPr>
            <w:tcW w:w="2679" w:type="dxa"/>
            <w:vAlign w:val="center"/>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 xml:space="preserve">    （盖章）</w:t>
            </w:r>
          </w:p>
          <w:p>
            <w:pPr>
              <w:ind w:firstLine="1440" w:firstLineChars="600"/>
              <w:jc w:val="center"/>
              <w:rPr>
                <w:rFonts w:ascii="宋体" w:hAnsi="宋体" w:eastAsia="宋体" w:cs="宋体"/>
                <w:sz w:val="24"/>
              </w:rPr>
            </w:pPr>
            <w:r>
              <w:rPr>
                <w:rFonts w:hint="eastAsia" w:ascii="宋体" w:hAnsi="宋体" w:eastAsia="宋体" w:cs="宋体"/>
                <w:sz w:val="24"/>
              </w:rPr>
              <w:t>年 月 日</w:t>
            </w:r>
          </w:p>
        </w:tc>
        <w:tc>
          <w:tcPr>
            <w:tcW w:w="1904" w:type="dxa"/>
            <w:vAlign w:val="center"/>
          </w:tcPr>
          <w:p>
            <w:pPr>
              <w:jc w:val="center"/>
              <w:rPr>
                <w:rFonts w:ascii="宋体" w:hAnsi="宋体" w:eastAsia="宋体" w:cs="宋体"/>
                <w:sz w:val="24"/>
              </w:rPr>
            </w:pPr>
            <w:r>
              <w:rPr>
                <w:rFonts w:hint="eastAsia" w:ascii="宋体" w:hAnsi="宋体" w:eastAsia="宋体" w:cs="宋体"/>
                <w:sz w:val="24"/>
              </w:rPr>
              <w:t>区财政部门意见</w:t>
            </w:r>
          </w:p>
        </w:tc>
        <w:tc>
          <w:tcPr>
            <w:tcW w:w="2238" w:type="dxa"/>
            <w:vAlign w:val="center"/>
          </w:tcPr>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rPr>
              <w:t xml:space="preserve">  （盖章）</w:t>
            </w:r>
          </w:p>
          <w:p>
            <w:pPr>
              <w:jc w:val="center"/>
              <w:rPr>
                <w:rFonts w:ascii="宋体" w:hAnsi="宋体" w:eastAsia="宋体" w:cs="宋体"/>
                <w:sz w:val="24"/>
              </w:rPr>
            </w:pPr>
            <w:r>
              <w:rPr>
                <w:rFonts w:hint="eastAsia" w:ascii="宋体" w:hAnsi="宋体" w:eastAsia="宋体" w:cs="宋体"/>
                <w:sz w:val="24"/>
              </w:rPr>
              <w:t xml:space="preserve">        年 月 日</w:t>
            </w:r>
          </w:p>
        </w:tc>
      </w:tr>
    </w:tbl>
    <w:p>
      <w:pPr>
        <w:spacing w:line="360" w:lineRule="exact"/>
        <w:jc w:val="left"/>
        <w:rPr>
          <w:rFonts w:ascii="宋体" w:hAnsi="宋体" w:eastAsia="宋体" w:cs="宋体"/>
          <w:sz w:val="24"/>
        </w:rPr>
      </w:pPr>
      <w:r>
        <w:rPr>
          <w:rFonts w:hint="eastAsia" w:ascii="宋体" w:hAnsi="宋体" w:eastAsia="宋体" w:cs="宋体"/>
          <w:sz w:val="24"/>
        </w:rPr>
        <w:t>注：本表一式五份，业主、供气单位、所在地、住建部门、财政部门各存一份。</w:t>
      </w:r>
    </w:p>
    <w:p>
      <w:pPr>
        <w:rPr>
          <w:rFonts w:ascii="宋体" w:hAnsi="宋体" w:eastAsia="宋体" w:cs="宋体"/>
          <w:sz w:val="28"/>
          <w:szCs w:val="28"/>
        </w:rPr>
        <w:sectPr>
          <w:footerReference r:id="rId3" w:type="default"/>
          <w:pgSz w:w="11906" w:h="16838"/>
          <w:pgMar w:top="2268" w:right="1701" w:bottom="2268" w:left="1701" w:header="851" w:footer="1701" w:gutter="0"/>
          <w:cols w:space="425" w:num="1"/>
          <w:docGrid w:type="lines" w:linePitch="312" w:charSpace="0"/>
        </w:sectPr>
      </w:pPr>
    </w:p>
    <w:p>
      <w:pPr>
        <w:jc w:val="left"/>
        <w:rPr>
          <w:rFonts w:ascii="宋体" w:hAnsi="宋体" w:eastAsia="宋体" w:cs="宋体"/>
          <w:b/>
          <w:sz w:val="28"/>
          <w:szCs w:val="28"/>
        </w:rPr>
      </w:pPr>
      <w:r>
        <w:rPr>
          <w:rFonts w:hint="eastAsia" w:ascii="宋体" w:hAnsi="宋体" w:eastAsia="宋体" w:cs="宋体"/>
          <w:b/>
          <w:sz w:val="28"/>
          <w:szCs w:val="28"/>
        </w:rPr>
        <w:t>附件3</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大丰区餐饮场所“瓶改管”工作成员单位联系表</w:t>
      </w:r>
    </w:p>
    <w:tbl>
      <w:tblPr>
        <w:tblStyle w:val="6"/>
        <w:tblpPr w:leftFromText="180" w:rightFromText="180" w:vertAnchor="text" w:horzAnchor="page" w:tblpX="1214" w:tblpY="446"/>
        <w:tblOverlap w:val="never"/>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3"/>
        <w:gridCol w:w="2637"/>
        <w:gridCol w:w="2000"/>
        <w:gridCol w:w="2663"/>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tcPr>
          <w:p>
            <w:pPr>
              <w:jc w:val="center"/>
              <w:rPr>
                <w:rFonts w:ascii="宋体" w:hAnsi="宋体" w:eastAsia="宋体" w:cs="宋体"/>
                <w:b/>
                <w:bCs/>
                <w:sz w:val="28"/>
                <w:szCs w:val="28"/>
              </w:rPr>
            </w:pPr>
            <w:r>
              <w:rPr>
                <w:rFonts w:hint="eastAsia" w:ascii="宋体" w:hAnsi="宋体" w:eastAsia="宋体" w:cs="宋体"/>
                <w:b/>
                <w:bCs/>
                <w:sz w:val="28"/>
                <w:szCs w:val="28"/>
              </w:rPr>
              <w:t>单位名称</w:t>
            </w:r>
          </w:p>
        </w:tc>
        <w:tc>
          <w:tcPr>
            <w:tcW w:w="2637" w:type="dxa"/>
          </w:tcPr>
          <w:p>
            <w:pPr>
              <w:jc w:val="center"/>
              <w:rPr>
                <w:rFonts w:ascii="宋体" w:hAnsi="宋体" w:eastAsia="宋体" w:cs="宋体"/>
                <w:b/>
                <w:bCs/>
                <w:sz w:val="28"/>
                <w:szCs w:val="28"/>
              </w:rPr>
            </w:pPr>
            <w:r>
              <w:rPr>
                <w:rFonts w:hint="eastAsia" w:ascii="宋体" w:hAnsi="宋体" w:eastAsia="宋体" w:cs="宋体"/>
                <w:b/>
                <w:bCs/>
                <w:sz w:val="28"/>
                <w:szCs w:val="28"/>
              </w:rPr>
              <w:t>分管负责人姓名</w:t>
            </w:r>
          </w:p>
        </w:tc>
        <w:tc>
          <w:tcPr>
            <w:tcW w:w="2000" w:type="dxa"/>
          </w:tcPr>
          <w:p>
            <w:pPr>
              <w:jc w:val="center"/>
              <w:rPr>
                <w:rFonts w:ascii="宋体" w:hAnsi="宋体" w:eastAsia="宋体" w:cs="宋体"/>
                <w:b/>
                <w:bCs/>
                <w:sz w:val="28"/>
                <w:szCs w:val="28"/>
              </w:rPr>
            </w:pPr>
            <w:r>
              <w:rPr>
                <w:rFonts w:hint="eastAsia" w:ascii="宋体" w:hAnsi="宋体" w:eastAsia="宋体" w:cs="宋体"/>
                <w:b/>
                <w:bCs/>
                <w:sz w:val="28"/>
                <w:szCs w:val="28"/>
              </w:rPr>
              <w:t>职务</w:t>
            </w:r>
          </w:p>
        </w:tc>
        <w:tc>
          <w:tcPr>
            <w:tcW w:w="2663" w:type="dxa"/>
          </w:tcPr>
          <w:p>
            <w:pPr>
              <w:jc w:val="center"/>
              <w:rPr>
                <w:rFonts w:ascii="宋体" w:hAnsi="宋体" w:eastAsia="宋体" w:cs="宋体"/>
                <w:b/>
                <w:bCs/>
                <w:sz w:val="28"/>
                <w:szCs w:val="28"/>
              </w:rPr>
            </w:pPr>
            <w:r>
              <w:rPr>
                <w:rFonts w:hint="eastAsia" w:ascii="宋体" w:hAnsi="宋体" w:eastAsia="宋体" w:cs="宋体"/>
                <w:b/>
                <w:bCs/>
                <w:sz w:val="28"/>
                <w:szCs w:val="28"/>
              </w:rPr>
              <w:t>手机号</w:t>
            </w:r>
          </w:p>
        </w:tc>
        <w:tc>
          <w:tcPr>
            <w:tcW w:w="3587" w:type="dxa"/>
          </w:tcPr>
          <w:p>
            <w:pPr>
              <w:jc w:val="center"/>
              <w:rPr>
                <w:rFonts w:ascii="宋体" w:hAnsi="宋体" w:eastAsia="宋体" w:cs="宋体"/>
                <w:b/>
                <w:bCs/>
                <w:sz w:val="28"/>
                <w:szCs w:val="28"/>
              </w:rPr>
            </w:pPr>
            <w:r>
              <w:rPr>
                <w:rFonts w:hint="eastAsia" w:ascii="宋体" w:hAnsi="宋体" w:eastAsia="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区住建局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区应急管理局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区城管局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区商务局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区</w:t>
            </w:r>
            <w:r>
              <w:rPr>
                <w:rFonts w:hint="eastAsia" w:ascii="宋体" w:hAnsi="宋体" w:eastAsia="宋体" w:cs="宋体"/>
                <w:sz w:val="28"/>
                <w:szCs w:val="28"/>
                <w:lang w:val="en-US" w:eastAsia="zh-CN"/>
              </w:rPr>
              <w:t>文旅局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区卫健委</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区财政局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区消防救援大队</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rPr>
              <w:t>区审计局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rPr>
              <w:t>区市场监管局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区教育局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区民政局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区公安局</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大中街道</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丰华街道</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新丰镇</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经济开发区</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3" w:type="dxa"/>
            <w:vAlign w:val="center"/>
          </w:tcPr>
          <w:p>
            <w:pPr>
              <w:jc w:val="center"/>
              <w:rPr>
                <w:rFonts w:ascii="宋体" w:hAnsi="宋体" w:eastAsia="宋体" w:cs="宋体"/>
                <w:sz w:val="28"/>
                <w:szCs w:val="28"/>
              </w:rPr>
            </w:pPr>
            <w:r>
              <w:rPr>
                <w:rFonts w:hint="eastAsia" w:ascii="宋体" w:hAnsi="宋体" w:eastAsia="宋体" w:cs="宋体"/>
                <w:sz w:val="28"/>
                <w:szCs w:val="28"/>
              </w:rPr>
              <w:t>大丰港区</w:t>
            </w:r>
          </w:p>
        </w:tc>
        <w:tc>
          <w:tcPr>
            <w:tcW w:w="2637" w:type="dxa"/>
          </w:tcPr>
          <w:p>
            <w:pPr>
              <w:jc w:val="left"/>
              <w:rPr>
                <w:rFonts w:ascii="宋体" w:hAnsi="宋体" w:eastAsia="宋体" w:cs="宋体"/>
                <w:sz w:val="28"/>
                <w:szCs w:val="28"/>
              </w:rPr>
            </w:pPr>
          </w:p>
        </w:tc>
        <w:tc>
          <w:tcPr>
            <w:tcW w:w="2000" w:type="dxa"/>
          </w:tcPr>
          <w:p>
            <w:pPr>
              <w:jc w:val="left"/>
              <w:rPr>
                <w:rFonts w:ascii="宋体" w:hAnsi="宋体" w:eastAsia="宋体" w:cs="宋体"/>
                <w:sz w:val="28"/>
                <w:szCs w:val="28"/>
              </w:rPr>
            </w:pPr>
          </w:p>
        </w:tc>
        <w:tc>
          <w:tcPr>
            <w:tcW w:w="2663" w:type="dxa"/>
          </w:tcPr>
          <w:p>
            <w:pPr>
              <w:jc w:val="left"/>
              <w:rPr>
                <w:rFonts w:ascii="宋体" w:hAnsi="宋体" w:eastAsia="宋体" w:cs="宋体"/>
                <w:sz w:val="28"/>
                <w:szCs w:val="28"/>
              </w:rPr>
            </w:pPr>
          </w:p>
        </w:tc>
        <w:tc>
          <w:tcPr>
            <w:tcW w:w="3587" w:type="dxa"/>
          </w:tcPr>
          <w:p>
            <w:pPr>
              <w:jc w:val="left"/>
              <w:rPr>
                <w:rFonts w:ascii="宋体" w:hAnsi="宋体" w:eastAsia="宋体" w:cs="宋体"/>
                <w:sz w:val="28"/>
                <w:szCs w:val="28"/>
              </w:rPr>
            </w:pPr>
          </w:p>
        </w:tc>
      </w:tr>
    </w:tbl>
    <w:p>
      <w:pPr>
        <w:spacing w:line="400" w:lineRule="exact"/>
        <w:jc w:val="left"/>
        <w:rPr>
          <w:rFonts w:ascii="宋体" w:hAnsi="宋体" w:eastAsia="宋体" w:cs="宋体"/>
          <w:sz w:val="28"/>
          <w:szCs w:val="28"/>
        </w:rPr>
      </w:pPr>
      <w:r>
        <w:rPr>
          <w:rFonts w:hint="eastAsia" w:ascii="宋体" w:hAnsi="宋体" w:eastAsia="宋体" w:cs="宋体"/>
          <w:sz w:val="28"/>
          <w:szCs w:val="28"/>
        </w:rPr>
        <w:t>注：该表格请区“瓶改管”工作领导小组成员单位填报后于3月25日前报“瓶改管”办公室（区住建局）。</w:t>
      </w:r>
    </w:p>
    <w:p>
      <w:pPr>
        <w:spacing w:line="400" w:lineRule="exact"/>
        <w:jc w:val="left"/>
        <w:rPr>
          <w:rFonts w:ascii="宋体" w:hAnsi="宋体" w:eastAsia="宋体" w:cs="宋体"/>
          <w:sz w:val="28"/>
          <w:szCs w:val="28"/>
        </w:rPr>
      </w:pPr>
      <w:r>
        <w:rPr>
          <w:rFonts w:hint="eastAsia" w:ascii="宋体" w:hAnsi="宋体" w:eastAsia="宋体" w:cs="宋体"/>
          <w:sz w:val="28"/>
          <w:szCs w:val="28"/>
        </w:rPr>
        <w:t>联系人：黄雨霏，联系电话：83535488，联系邮箱：dfqrqb@163.com。</w:t>
      </w:r>
    </w:p>
    <w:p>
      <w:pPr>
        <w:jc w:val="left"/>
        <w:rPr>
          <w:rFonts w:ascii="宋体" w:hAnsi="宋体" w:eastAsia="宋体" w:cs="宋体"/>
          <w:sz w:val="28"/>
          <w:szCs w:val="28"/>
        </w:rPr>
      </w:pPr>
    </w:p>
    <w:p>
      <w:pPr>
        <w:jc w:val="left"/>
        <w:rPr>
          <w:rFonts w:ascii="宋体" w:hAnsi="宋体" w:eastAsia="宋体" w:cs="宋体"/>
          <w:sz w:val="28"/>
          <w:szCs w:val="28"/>
        </w:rPr>
        <w:sectPr>
          <w:pgSz w:w="16838" w:h="11906" w:orient="landscape"/>
          <w:pgMar w:top="1800" w:right="1440" w:bottom="1800" w:left="1440" w:header="851" w:footer="992" w:gutter="0"/>
          <w:cols w:space="425" w:num="1"/>
          <w:docGrid w:type="lines" w:linePitch="312" w:charSpace="0"/>
        </w:sectPr>
      </w:pPr>
    </w:p>
    <w:p>
      <w:pPr>
        <w:jc w:val="left"/>
        <w:rPr>
          <w:rFonts w:ascii="宋体" w:hAnsi="宋体" w:eastAsia="宋体" w:cs="宋体"/>
          <w:b/>
          <w:sz w:val="28"/>
          <w:szCs w:val="28"/>
        </w:rPr>
      </w:pPr>
      <w:r>
        <w:rPr>
          <w:rFonts w:hint="eastAsia" w:ascii="宋体" w:hAnsi="宋体" w:eastAsia="宋体" w:cs="宋体"/>
          <w:b/>
          <w:sz w:val="28"/>
          <w:szCs w:val="28"/>
        </w:rPr>
        <w:t>附件4</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大丰区餐饮场所“瓶改管”工作月度汇总表</w:t>
      </w:r>
    </w:p>
    <w:tbl>
      <w:tblPr>
        <w:tblStyle w:val="6"/>
        <w:tblpPr w:leftFromText="180" w:rightFromText="180" w:vertAnchor="text" w:horzAnchor="margin" w:tblpXSpec="center" w:tblpY="7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56"/>
        <w:gridCol w:w="1426"/>
        <w:gridCol w:w="1463"/>
        <w:gridCol w:w="1552"/>
        <w:gridCol w:w="3931"/>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1479"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餐饮场所总数（个）</w:t>
            </w:r>
          </w:p>
        </w:tc>
        <w:tc>
          <w:tcPr>
            <w:tcW w:w="1456"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计划改</w:t>
            </w:r>
          </w:p>
          <w:p>
            <w:pPr>
              <w:spacing w:line="360" w:lineRule="exact"/>
              <w:jc w:val="center"/>
              <w:rPr>
                <w:rFonts w:ascii="宋体" w:hAnsi="宋体" w:eastAsia="宋体" w:cs="宋体"/>
                <w:sz w:val="28"/>
                <w:szCs w:val="28"/>
              </w:rPr>
            </w:pPr>
            <w:r>
              <w:rPr>
                <w:rFonts w:hint="eastAsia" w:ascii="宋体" w:hAnsi="宋体" w:eastAsia="宋体" w:cs="宋体"/>
                <w:sz w:val="28"/>
                <w:szCs w:val="28"/>
              </w:rPr>
              <w:t>造户数</w:t>
            </w:r>
          </w:p>
        </w:tc>
        <w:tc>
          <w:tcPr>
            <w:tcW w:w="1426"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无法改造</w:t>
            </w:r>
          </w:p>
          <w:p>
            <w:pPr>
              <w:spacing w:line="360" w:lineRule="exact"/>
              <w:jc w:val="center"/>
              <w:rPr>
                <w:rFonts w:ascii="宋体" w:hAnsi="宋体" w:eastAsia="宋体" w:cs="宋体"/>
                <w:sz w:val="28"/>
                <w:szCs w:val="28"/>
              </w:rPr>
            </w:pPr>
            <w:r>
              <w:rPr>
                <w:rFonts w:hint="eastAsia" w:ascii="宋体" w:hAnsi="宋体" w:eastAsia="宋体" w:cs="宋体"/>
                <w:sz w:val="28"/>
                <w:szCs w:val="28"/>
              </w:rPr>
              <w:t>户数</w:t>
            </w:r>
          </w:p>
        </w:tc>
        <w:tc>
          <w:tcPr>
            <w:tcW w:w="1463"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正在实施</w:t>
            </w:r>
          </w:p>
          <w:p>
            <w:pPr>
              <w:spacing w:line="360" w:lineRule="exact"/>
              <w:jc w:val="center"/>
              <w:rPr>
                <w:rFonts w:ascii="宋体" w:hAnsi="宋体" w:eastAsia="宋体" w:cs="宋体"/>
                <w:sz w:val="28"/>
                <w:szCs w:val="28"/>
              </w:rPr>
            </w:pPr>
            <w:r>
              <w:rPr>
                <w:rFonts w:hint="eastAsia" w:ascii="宋体" w:hAnsi="宋体" w:eastAsia="宋体" w:cs="宋体"/>
                <w:sz w:val="28"/>
                <w:szCs w:val="28"/>
              </w:rPr>
              <w:t>户数</w:t>
            </w:r>
          </w:p>
        </w:tc>
        <w:tc>
          <w:tcPr>
            <w:tcW w:w="1552"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累计完成</w:t>
            </w:r>
          </w:p>
          <w:p>
            <w:pPr>
              <w:spacing w:line="360" w:lineRule="exact"/>
              <w:jc w:val="center"/>
              <w:rPr>
                <w:rFonts w:ascii="宋体" w:hAnsi="宋体" w:eastAsia="宋体" w:cs="宋体"/>
                <w:sz w:val="28"/>
                <w:szCs w:val="28"/>
              </w:rPr>
            </w:pPr>
            <w:r>
              <w:rPr>
                <w:rFonts w:hint="eastAsia" w:ascii="宋体" w:hAnsi="宋体" w:eastAsia="宋体" w:cs="宋体"/>
                <w:sz w:val="28"/>
                <w:szCs w:val="28"/>
              </w:rPr>
              <w:t>户数</w:t>
            </w:r>
          </w:p>
        </w:tc>
        <w:tc>
          <w:tcPr>
            <w:tcW w:w="3931" w:type="dxa"/>
            <w:vAlign w:val="center"/>
          </w:tcPr>
          <w:p>
            <w:pPr>
              <w:spacing w:line="360" w:lineRule="exact"/>
              <w:jc w:val="center"/>
              <w:rPr>
                <w:rFonts w:ascii="宋体" w:hAnsi="宋体" w:eastAsia="宋体" w:cs="宋体"/>
                <w:sz w:val="28"/>
                <w:szCs w:val="28"/>
              </w:rPr>
            </w:pPr>
            <w:r>
              <w:rPr>
                <w:rFonts w:hint="eastAsia" w:ascii="宋体" w:hAnsi="宋体" w:eastAsia="宋体" w:cs="宋体"/>
                <w:sz w:val="28"/>
                <w:szCs w:val="28"/>
              </w:rPr>
              <w:t>工作开展情况、存在问题及</w:t>
            </w:r>
          </w:p>
          <w:p>
            <w:pPr>
              <w:spacing w:line="360" w:lineRule="exact"/>
              <w:jc w:val="center"/>
              <w:rPr>
                <w:rFonts w:ascii="宋体" w:hAnsi="宋体" w:eastAsia="宋体" w:cs="宋体"/>
                <w:sz w:val="28"/>
                <w:szCs w:val="28"/>
              </w:rPr>
            </w:pPr>
            <w:r>
              <w:rPr>
                <w:rFonts w:hint="eastAsia" w:ascii="宋体" w:hAnsi="宋体" w:eastAsia="宋体" w:cs="宋体"/>
                <w:sz w:val="28"/>
                <w:szCs w:val="28"/>
              </w:rPr>
              <w:t>下一步工作计划</w:t>
            </w:r>
          </w:p>
        </w:tc>
        <w:tc>
          <w:tcPr>
            <w:tcW w:w="2775" w:type="dxa"/>
            <w:vAlign w:val="center"/>
          </w:tcPr>
          <w:p>
            <w:pPr>
              <w:jc w:val="center"/>
              <w:rPr>
                <w:rFonts w:ascii="宋体" w:hAnsi="宋体" w:eastAsia="宋体" w:cs="宋体"/>
                <w:sz w:val="28"/>
                <w:szCs w:val="28"/>
              </w:rPr>
            </w:pPr>
            <w:r>
              <w:rPr>
                <w:rFonts w:hint="eastAsia" w:ascii="宋体" w:hAnsi="宋体" w:eastAsia="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1479" w:type="dxa"/>
          </w:tcPr>
          <w:p>
            <w:pPr>
              <w:jc w:val="center"/>
              <w:rPr>
                <w:rFonts w:ascii="宋体" w:hAnsi="宋体" w:eastAsia="宋体" w:cs="宋体"/>
                <w:sz w:val="44"/>
                <w:szCs w:val="44"/>
              </w:rPr>
            </w:pPr>
          </w:p>
        </w:tc>
        <w:tc>
          <w:tcPr>
            <w:tcW w:w="1456" w:type="dxa"/>
          </w:tcPr>
          <w:p>
            <w:pPr>
              <w:jc w:val="center"/>
              <w:rPr>
                <w:rFonts w:ascii="宋体" w:hAnsi="宋体" w:eastAsia="宋体" w:cs="宋体"/>
                <w:sz w:val="44"/>
                <w:szCs w:val="44"/>
              </w:rPr>
            </w:pPr>
          </w:p>
        </w:tc>
        <w:tc>
          <w:tcPr>
            <w:tcW w:w="1426" w:type="dxa"/>
          </w:tcPr>
          <w:p>
            <w:pPr>
              <w:jc w:val="center"/>
              <w:rPr>
                <w:rFonts w:ascii="宋体" w:hAnsi="宋体" w:eastAsia="宋体" w:cs="宋体"/>
                <w:sz w:val="44"/>
                <w:szCs w:val="44"/>
              </w:rPr>
            </w:pPr>
          </w:p>
        </w:tc>
        <w:tc>
          <w:tcPr>
            <w:tcW w:w="1463" w:type="dxa"/>
          </w:tcPr>
          <w:p>
            <w:pPr>
              <w:jc w:val="center"/>
              <w:rPr>
                <w:rFonts w:ascii="宋体" w:hAnsi="宋体" w:eastAsia="宋体" w:cs="宋体"/>
                <w:sz w:val="44"/>
                <w:szCs w:val="44"/>
              </w:rPr>
            </w:pPr>
          </w:p>
        </w:tc>
        <w:tc>
          <w:tcPr>
            <w:tcW w:w="1552" w:type="dxa"/>
          </w:tcPr>
          <w:p>
            <w:pPr>
              <w:jc w:val="center"/>
              <w:rPr>
                <w:rFonts w:ascii="宋体" w:hAnsi="宋体" w:eastAsia="宋体" w:cs="宋体"/>
                <w:sz w:val="44"/>
                <w:szCs w:val="44"/>
              </w:rPr>
            </w:pPr>
          </w:p>
        </w:tc>
        <w:tc>
          <w:tcPr>
            <w:tcW w:w="3931" w:type="dxa"/>
          </w:tcPr>
          <w:p>
            <w:pPr>
              <w:jc w:val="center"/>
              <w:rPr>
                <w:rFonts w:ascii="宋体" w:hAnsi="宋体" w:eastAsia="宋体" w:cs="宋体"/>
                <w:sz w:val="44"/>
                <w:szCs w:val="44"/>
              </w:rPr>
            </w:pPr>
          </w:p>
        </w:tc>
        <w:tc>
          <w:tcPr>
            <w:tcW w:w="2775" w:type="dxa"/>
          </w:tcPr>
          <w:p>
            <w:pPr>
              <w:jc w:val="center"/>
              <w:rPr>
                <w:rFonts w:ascii="宋体" w:hAnsi="宋体" w:eastAsia="宋体" w:cs="宋体"/>
                <w:sz w:val="44"/>
                <w:szCs w:val="44"/>
              </w:rPr>
            </w:pPr>
          </w:p>
        </w:tc>
      </w:tr>
    </w:tbl>
    <w:p>
      <w:pPr>
        <w:jc w:val="left"/>
        <w:rPr>
          <w:rFonts w:ascii="宋体" w:hAnsi="宋体" w:eastAsia="宋体" w:cs="宋体"/>
          <w:sz w:val="28"/>
          <w:szCs w:val="28"/>
        </w:rPr>
      </w:pPr>
      <w:r>
        <w:rPr>
          <w:rFonts w:hint="eastAsia" w:ascii="宋体" w:hAnsi="宋体" w:eastAsia="宋体" w:cs="宋体"/>
          <w:sz w:val="28"/>
          <w:szCs w:val="28"/>
          <w:u w:val="single"/>
        </w:rPr>
        <w:t>　　　　　　</w:t>
      </w:r>
      <w:r>
        <w:rPr>
          <w:rFonts w:hint="eastAsia" w:ascii="宋体" w:hAnsi="宋体" w:eastAsia="宋体" w:cs="宋体"/>
          <w:sz w:val="28"/>
          <w:szCs w:val="28"/>
        </w:rPr>
        <w:t>街道（镇、区园）（盖章）　　　　　　　　　　　　　　　填表时间：</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w:t>
      </w:r>
    </w:p>
    <w:p>
      <w:pPr>
        <w:jc w:val="left"/>
        <w:rPr>
          <w:rFonts w:ascii="宋体" w:hAnsi="宋体" w:eastAsia="宋体" w:cs="宋体"/>
          <w:sz w:val="28"/>
          <w:szCs w:val="28"/>
        </w:rPr>
      </w:pPr>
      <w:r>
        <w:rPr>
          <w:rFonts w:hint="eastAsia" w:ascii="宋体" w:hAnsi="宋体" w:eastAsia="宋体" w:cs="宋体"/>
          <w:sz w:val="28"/>
          <w:szCs w:val="28"/>
        </w:rPr>
        <w:t>分管负责人：　　　　　　　　　　　　　　　科室负责人：　　　　　　　　　　　　　联系电话：</w:t>
      </w:r>
    </w:p>
    <w:p>
      <w:pPr>
        <w:jc w:val="left"/>
        <w:rPr>
          <w:rFonts w:ascii="宋体" w:hAnsi="宋体" w:eastAsia="宋体" w:cs="宋体"/>
          <w:sz w:val="28"/>
          <w:szCs w:val="28"/>
        </w:rPr>
      </w:pPr>
      <w:r>
        <w:rPr>
          <w:rFonts w:hint="eastAsia" w:ascii="宋体" w:hAnsi="宋体" w:eastAsia="宋体" w:cs="宋体"/>
          <w:sz w:val="28"/>
          <w:szCs w:val="28"/>
        </w:rPr>
        <w:t>注：该表格请各街道于每月28日前签字盖章后报区“瓶改管”办公室（区住建局）。　　　　</w:t>
      </w:r>
    </w:p>
    <w:p>
      <w:pPr>
        <w:jc w:val="left"/>
        <w:rPr>
          <w:rFonts w:eastAsia="宋体"/>
        </w:rPr>
      </w:pPr>
      <w:r>
        <w:rPr>
          <w:rFonts w:hint="eastAsia" w:ascii="宋体" w:hAnsi="宋体" w:eastAsia="宋体" w:cs="宋体"/>
          <w:sz w:val="28"/>
          <w:szCs w:val="28"/>
        </w:rPr>
        <w:t>联系人：黄雨霏，联系电话：83535488，联系邮箱：dfqrqb@163.com。</w:t>
      </w:r>
    </w:p>
    <w:p>
      <w:pPr>
        <w:jc w:val="left"/>
        <w:rPr>
          <w:rFonts w:ascii="宋体" w:hAnsi="宋体" w:eastAsia="宋体" w:cs="宋体"/>
          <w:sz w:val="28"/>
          <w:szCs w:val="28"/>
        </w:rPr>
      </w:pPr>
      <w:r>
        <w:rPr>
          <w:rFonts w:hint="eastAsia" w:ascii="宋体" w:hAnsi="宋体" w:eastAsia="宋体" w:cs="宋体"/>
          <w:sz w:val="28"/>
          <w:szCs w:val="28"/>
        </w:rPr>
        <w:t>　</w:t>
      </w:r>
    </w:p>
    <w:p>
      <w:pPr>
        <w:jc w:val="left"/>
        <w:rPr>
          <w:rFonts w:ascii="宋体" w:hAnsi="宋体" w:eastAsia="宋体" w:cs="宋体"/>
          <w:b/>
          <w:sz w:val="28"/>
          <w:szCs w:val="28"/>
        </w:rPr>
      </w:pPr>
      <w:r>
        <w:rPr>
          <w:rFonts w:hint="eastAsia" w:ascii="宋体" w:hAnsi="宋体" w:eastAsia="宋体" w:cs="宋体"/>
          <w:b/>
          <w:sz w:val="28"/>
          <w:szCs w:val="28"/>
        </w:rPr>
        <w:t>附件5</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大丰区餐饮场所“瓶改管”工作基本情况调查表</w:t>
      </w:r>
    </w:p>
    <w:tbl>
      <w:tblPr>
        <w:tblStyle w:val="6"/>
        <w:tblpPr w:leftFromText="180" w:rightFromText="180" w:vertAnchor="text" w:horzAnchor="margin" w:tblpY="737"/>
        <w:tblOverlap w:val="never"/>
        <w:tblW w:w="14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059"/>
        <w:gridCol w:w="1802"/>
        <w:gridCol w:w="1282"/>
        <w:gridCol w:w="1263"/>
        <w:gridCol w:w="909"/>
        <w:gridCol w:w="1051"/>
        <w:gridCol w:w="1066"/>
        <w:gridCol w:w="1141"/>
        <w:gridCol w:w="1306"/>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79" w:type="dxa"/>
            <w:vMerge w:val="restart"/>
            <w:vAlign w:val="center"/>
          </w:tcPr>
          <w:p>
            <w:pPr>
              <w:jc w:val="center"/>
              <w:rPr>
                <w:rFonts w:ascii="宋体" w:hAnsi="宋体" w:eastAsia="宋体" w:cs="宋体"/>
                <w:sz w:val="24"/>
              </w:rPr>
            </w:pPr>
            <w:r>
              <w:rPr>
                <w:rFonts w:hint="eastAsia" w:ascii="宋体" w:hAnsi="宋体" w:eastAsia="宋体" w:cs="宋体"/>
                <w:sz w:val="24"/>
              </w:rPr>
              <w:t>序号</w:t>
            </w:r>
          </w:p>
        </w:tc>
        <w:tc>
          <w:tcPr>
            <w:tcW w:w="2059" w:type="dxa"/>
            <w:vMerge w:val="restart"/>
            <w:vAlign w:val="center"/>
          </w:tcPr>
          <w:p>
            <w:pPr>
              <w:jc w:val="center"/>
              <w:rPr>
                <w:rFonts w:ascii="宋体" w:hAnsi="宋体" w:eastAsia="宋体" w:cs="宋体"/>
                <w:sz w:val="24"/>
              </w:rPr>
            </w:pPr>
            <w:r>
              <w:rPr>
                <w:rFonts w:hint="eastAsia" w:ascii="宋体" w:hAnsi="宋体" w:eastAsia="宋体" w:cs="宋体"/>
                <w:sz w:val="24"/>
              </w:rPr>
              <w:t>餐饮单位名称</w:t>
            </w:r>
          </w:p>
        </w:tc>
        <w:tc>
          <w:tcPr>
            <w:tcW w:w="1802" w:type="dxa"/>
            <w:vMerge w:val="restart"/>
            <w:vAlign w:val="center"/>
          </w:tcPr>
          <w:p>
            <w:pPr>
              <w:jc w:val="center"/>
              <w:rPr>
                <w:rFonts w:ascii="宋体" w:hAnsi="宋体" w:eastAsia="宋体" w:cs="宋体"/>
                <w:sz w:val="24"/>
              </w:rPr>
            </w:pPr>
            <w:r>
              <w:rPr>
                <w:rFonts w:hint="eastAsia" w:ascii="宋体" w:hAnsi="宋体" w:eastAsia="宋体" w:cs="宋体"/>
                <w:sz w:val="24"/>
              </w:rPr>
              <w:t>地址</w:t>
            </w:r>
          </w:p>
        </w:tc>
        <w:tc>
          <w:tcPr>
            <w:tcW w:w="3454" w:type="dxa"/>
            <w:gridSpan w:val="3"/>
            <w:vAlign w:val="center"/>
          </w:tcPr>
          <w:p>
            <w:pPr>
              <w:jc w:val="center"/>
              <w:rPr>
                <w:rFonts w:ascii="宋体" w:hAnsi="宋体" w:eastAsia="宋体" w:cs="宋体"/>
                <w:sz w:val="24"/>
              </w:rPr>
            </w:pPr>
            <w:r>
              <w:rPr>
                <w:rFonts w:hint="eastAsia" w:ascii="宋体" w:hAnsi="宋体" w:eastAsia="宋体" w:cs="宋体"/>
                <w:sz w:val="24"/>
              </w:rPr>
              <w:t>使用能源种类</w:t>
            </w:r>
          </w:p>
        </w:tc>
        <w:tc>
          <w:tcPr>
            <w:tcW w:w="1051" w:type="dxa"/>
            <w:vMerge w:val="restart"/>
            <w:vAlign w:val="center"/>
          </w:tcPr>
          <w:p>
            <w:pPr>
              <w:jc w:val="center"/>
              <w:rPr>
                <w:rFonts w:ascii="宋体" w:hAnsi="宋体" w:eastAsia="宋体" w:cs="宋体"/>
                <w:sz w:val="24"/>
              </w:rPr>
            </w:pPr>
            <w:r>
              <w:rPr>
                <w:rFonts w:hint="eastAsia" w:ascii="宋体" w:hAnsi="宋体" w:eastAsia="宋体" w:cs="宋体"/>
                <w:sz w:val="24"/>
              </w:rPr>
              <w:t>供气企业名称</w:t>
            </w:r>
          </w:p>
        </w:tc>
        <w:tc>
          <w:tcPr>
            <w:tcW w:w="1066" w:type="dxa"/>
            <w:vMerge w:val="restart"/>
            <w:vAlign w:val="center"/>
          </w:tcPr>
          <w:p>
            <w:pPr>
              <w:jc w:val="center"/>
              <w:rPr>
                <w:rFonts w:ascii="宋体" w:hAnsi="宋体" w:eastAsia="宋体" w:cs="宋体"/>
                <w:sz w:val="24"/>
              </w:rPr>
            </w:pPr>
            <w:r>
              <w:rPr>
                <w:rFonts w:hint="eastAsia" w:ascii="宋体" w:hAnsi="宋体" w:eastAsia="宋体" w:cs="宋体"/>
                <w:sz w:val="24"/>
              </w:rPr>
              <w:t>是否签订合同</w:t>
            </w:r>
          </w:p>
        </w:tc>
        <w:tc>
          <w:tcPr>
            <w:tcW w:w="1141" w:type="dxa"/>
            <w:vMerge w:val="restart"/>
            <w:vAlign w:val="center"/>
          </w:tcPr>
          <w:p>
            <w:pPr>
              <w:jc w:val="center"/>
              <w:rPr>
                <w:rFonts w:ascii="宋体" w:hAnsi="宋体" w:eastAsia="宋体" w:cs="宋体"/>
                <w:sz w:val="24"/>
              </w:rPr>
            </w:pPr>
            <w:r>
              <w:rPr>
                <w:rFonts w:hint="eastAsia" w:ascii="宋体" w:hAnsi="宋体" w:eastAsia="宋体" w:cs="宋体"/>
                <w:sz w:val="24"/>
              </w:rPr>
              <w:t>单位</w:t>
            </w:r>
          </w:p>
          <w:p>
            <w:pPr>
              <w:jc w:val="center"/>
              <w:rPr>
                <w:rFonts w:ascii="宋体" w:hAnsi="宋体" w:eastAsia="宋体" w:cs="宋体"/>
                <w:sz w:val="24"/>
              </w:rPr>
            </w:pPr>
            <w:r>
              <w:rPr>
                <w:rFonts w:hint="eastAsia" w:ascii="宋体" w:hAnsi="宋体" w:eastAsia="宋体" w:cs="宋体"/>
                <w:sz w:val="24"/>
              </w:rPr>
              <w:t>负责人</w:t>
            </w:r>
          </w:p>
        </w:tc>
        <w:tc>
          <w:tcPr>
            <w:tcW w:w="1306" w:type="dxa"/>
            <w:vMerge w:val="restart"/>
            <w:vAlign w:val="center"/>
          </w:tcPr>
          <w:p>
            <w:pPr>
              <w:jc w:val="center"/>
              <w:rPr>
                <w:rFonts w:ascii="宋体" w:hAnsi="宋体" w:eastAsia="宋体" w:cs="宋体"/>
                <w:sz w:val="24"/>
              </w:rPr>
            </w:pPr>
            <w:r>
              <w:rPr>
                <w:rFonts w:hint="eastAsia" w:ascii="宋体" w:hAnsi="宋体" w:eastAsia="宋体" w:cs="宋体"/>
                <w:sz w:val="24"/>
              </w:rPr>
              <w:t>手机号码</w:t>
            </w:r>
          </w:p>
        </w:tc>
        <w:tc>
          <w:tcPr>
            <w:tcW w:w="1427" w:type="dxa"/>
            <w:vMerge w:val="restart"/>
            <w:vAlign w:val="center"/>
          </w:tcPr>
          <w:p>
            <w:pPr>
              <w:jc w:val="center"/>
              <w:rPr>
                <w:rFonts w:ascii="宋体" w:hAnsi="宋体" w:eastAsia="宋体" w:cs="宋体"/>
                <w:sz w:val="24"/>
              </w:rPr>
            </w:pPr>
            <w:r>
              <w:rPr>
                <w:rFonts w:hint="eastAsia" w:ascii="宋体" w:hAnsi="宋体" w:eastAsia="宋体" w:cs="宋体"/>
                <w:sz w:val="24"/>
              </w:rPr>
              <w:t>是否改造及原因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79" w:type="dxa"/>
            <w:vMerge w:val="continue"/>
            <w:vAlign w:val="center"/>
          </w:tcPr>
          <w:p>
            <w:pPr>
              <w:jc w:val="center"/>
              <w:rPr>
                <w:rFonts w:ascii="宋体" w:hAnsi="宋体" w:eastAsia="宋体" w:cs="宋体"/>
                <w:sz w:val="28"/>
                <w:szCs w:val="28"/>
              </w:rPr>
            </w:pPr>
          </w:p>
        </w:tc>
        <w:tc>
          <w:tcPr>
            <w:tcW w:w="2059" w:type="dxa"/>
            <w:vMerge w:val="continue"/>
            <w:vAlign w:val="center"/>
          </w:tcPr>
          <w:p>
            <w:pPr>
              <w:jc w:val="center"/>
              <w:rPr>
                <w:rFonts w:ascii="宋体" w:hAnsi="宋体" w:eastAsia="宋体" w:cs="宋体"/>
                <w:sz w:val="28"/>
                <w:szCs w:val="28"/>
              </w:rPr>
            </w:pPr>
          </w:p>
        </w:tc>
        <w:tc>
          <w:tcPr>
            <w:tcW w:w="1802" w:type="dxa"/>
            <w:vMerge w:val="continue"/>
            <w:vAlign w:val="center"/>
          </w:tcPr>
          <w:p>
            <w:pPr>
              <w:jc w:val="center"/>
              <w:rPr>
                <w:rFonts w:ascii="宋体" w:hAnsi="宋体" w:eastAsia="宋体" w:cs="宋体"/>
                <w:sz w:val="28"/>
                <w:szCs w:val="28"/>
              </w:rPr>
            </w:pPr>
          </w:p>
        </w:tc>
        <w:tc>
          <w:tcPr>
            <w:tcW w:w="1282" w:type="dxa"/>
            <w:vAlign w:val="center"/>
          </w:tcPr>
          <w:p>
            <w:pPr>
              <w:jc w:val="center"/>
              <w:rPr>
                <w:rFonts w:ascii="宋体" w:hAnsi="宋体" w:eastAsia="宋体" w:cs="宋体"/>
                <w:sz w:val="24"/>
              </w:rPr>
            </w:pPr>
            <w:r>
              <w:rPr>
                <w:rFonts w:hint="eastAsia" w:ascii="宋体" w:hAnsi="宋体" w:eastAsia="宋体" w:cs="宋体"/>
                <w:sz w:val="24"/>
              </w:rPr>
              <w:t>天然气</w:t>
            </w:r>
          </w:p>
        </w:tc>
        <w:tc>
          <w:tcPr>
            <w:tcW w:w="1263" w:type="dxa"/>
            <w:vAlign w:val="center"/>
          </w:tcPr>
          <w:p>
            <w:pPr>
              <w:jc w:val="center"/>
              <w:rPr>
                <w:rFonts w:ascii="宋体" w:hAnsi="宋体" w:eastAsia="宋体" w:cs="宋体"/>
                <w:sz w:val="24"/>
              </w:rPr>
            </w:pPr>
            <w:r>
              <w:rPr>
                <w:rFonts w:hint="eastAsia" w:ascii="宋体" w:hAnsi="宋体" w:eastAsia="宋体" w:cs="宋体"/>
                <w:sz w:val="24"/>
              </w:rPr>
              <w:t>液化气</w:t>
            </w:r>
          </w:p>
        </w:tc>
        <w:tc>
          <w:tcPr>
            <w:tcW w:w="908" w:type="dxa"/>
            <w:vAlign w:val="center"/>
          </w:tcPr>
          <w:p>
            <w:pPr>
              <w:jc w:val="center"/>
              <w:rPr>
                <w:rFonts w:ascii="宋体" w:hAnsi="宋体" w:eastAsia="宋体" w:cs="宋体"/>
                <w:sz w:val="24"/>
              </w:rPr>
            </w:pPr>
            <w:r>
              <w:rPr>
                <w:rFonts w:hint="eastAsia" w:ascii="宋体" w:hAnsi="宋体" w:eastAsia="宋体" w:cs="宋体"/>
                <w:sz w:val="24"/>
              </w:rPr>
              <w:t>其他</w:t>
            </w:r>
          </w:p>
        </w:tc>
        <w:tc>
          <w:tcPr>
            <w:tcW w:w="1051" w:type="dxa"/>
            <w:vMerge w:val="continue"/>
            <w:vAlign w:val="center"/>
          </w:tcPr>
          <w:p>
            <w:pPr>
              <w:jc w:val="center"/>
              <w:rPr>
                <w:rFonts w:ascii="宋体" w:hAnsi="宋体" w:eastAsia="宋体" w:cs="宋体"/>
                <w:sz w:val="28"/>
                <w:szCs w:val="28"/>
              </w:rPr>
            </w:pPr>
          </w:p>
        </w:tc>
        <w:tc>
          <w:tcPr>
            <w:tcW w:w="1066" w:type="dxa"/>
            <w:vMerge w:val="continue"/>
            <w:vAlign w:val="center"/>
          </w:tcPr>
          <w:p>
            <w:pPr>
              <w:jc w:val="center"/>
              <w:rPr>
                <w:rFonts w:ascii="宋体" w:hAnsi="宋体" w:eastAsia="宋体" w:cs="宋体"/>
                <w:sz w:val="28"/>
                <w:szCs w:val="28"/>
              </w:rPr>
            </w:pPr>
          </w:p>
        </w:tc>
        <w:tc>
          <w:tcPr>
            <w:tcW w:w="1141" w:type="dxa"/>
            <w:vMerge w:val="continue"/>
            <w:vAlign w:val="center"/>
          </w:tcPr>
          <w:p>
            <w:pPr>
              <w:jc w:val="center"/>
              <w:rPr>
                <w:rFonts w:ascii="宋体" w:hAnsi="宋体" w:eastAsia="宋体" w:cs="宋体"/>
                <w:sz w:val="28"/>
                <w:szCs w:val="28"/>
              </w:rPr>
            </w:pPr>
          </w:p>
        </w:tc>
        <w:tc>
          <w:tcPr>
            <w:tcW w:w="1306" w:type="dxa"/>
            <w:vMerge w:val="continue"/>
            <w:vAlign w:val="center"/>
          </w:tcPr>
          <w:p>
            <w:pPr>
              <w:jc w:val="center"/>
              <w:rPr>
                <w:rFonts w:ascii="宋体" w:hAnsi="宋体" w:eastAsia="宋体" w:cs="宋体"/>
                <w:sz w:val="28"/>
                <w:szCs w:val="28"/>
              </w:rPr>
            </w:pPr>
          </w:p>
        </w:tc>
        <w:tc>
          <w:tcPr>
            <w:tcW w:w="1427" w:type="dxa"/>
            <w:vMerge w:val="continue"/>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9" w:type="dxa"/>
            <w:vAlign w:val="center"/>
          </w:tcPr>
          <w:p>
            <w:pPr>
              <w:jc w:val="center"/>
              <w:rPr>
                <w:rFonts w:ascii="宋体" w:hAnsi="宋体" w:eastAsia="宋体" w:cs="宋体"/>
                <w:sz w:val="13"/>
                <w:szCs w:val="13"/>
              </w:rPr>
            </w:pPr>
          </w:p>
        </w:tc>
        <w:tc>
          <w:tcPr>
            <w:tcW w:w="2059" w:type="dxa"/>
            <w:vAlign w:val="center"/>
          </w:tcPr>
          <w:p>
            <w:pPr>
              <w:jc w:val="center"/>
              <w:rPr>
                <w:rFonts w:ascii="宋体" w:hAnsi="宋体" w:eastAsia="宋体" w:cs="宋体"/>
                <w:sz w:val="13"/>
                <w:szCs w:val="13"/>
              </w:rPr>
            </w:pPr>
          </w:p>
        </w:tc>
        <w:tc>
          <w:tcPr>
            <w:tcW w:w="1802" w:type="dxa"/>
            <w:vAlign w:val="center"/>
          </w:tcPr>
          <w:p>
            <w:pPr>
              <w:jc w:val="center"/>
              <w:rPr>
                <w:rFonts w:ascii="宋体" w:hAnsi="宋体" w:eastAsia="宋体" w:cs="宋体"/>
                <w:sz w:val="13"/>
                <w:szCs w:val="13"/>
              </w:rPr>
            </w:pPr>
          </w:p>
        </w:tc>
        <w:tc>
          <w:tcPr>
            <w:tcW w:w="1282" w:type="dxa"/>
            <w:vAlign w:val="center"/>
          </w:tcPr>
          <w:p>
            <w:pPr>
              <w:jc w:val="center"/>
              <w:rPr>
                <w:rFonts w:ascii="宋体" w:hAnsi="宋体" w:eastAsia="宋体" w:cs="宋体"/>
                <w:sz w:val="13"/>
                <w:szCs w:val="13"/>
              </w:rPr>
            </w:pPr>
          </w:p>
        </w:tc>
        <w:tc>
          <w:tcPr>
            <w:tcW w:w="1263" w:type="dxa"/>
            <w:vAlign w:val="center"/>
          </w:tcPr>
          <w:p>
            <w:pPr>
              <w:jc w:val="center"/>
              <w:rPr>
                <w:rFonts w:ascii="宋体" w:hAnsi="宋体" w:eastAsia="宋体" w:cs="宋体"/>
                <w:sz w:val="13"/>
                <w:szCs w:val="13"/>
              </w:rPr>
            </w:pPr>
          </w:p>
        </w:tc>
        <w:tc>
          <w:tcPr>
            <w:tcW w:w="908" w:type="dxa"/>
            <w:vAlign w:val="center"/>
          </w:tcPr>
          <w:p>
            <w:pPr>
              <w:jc w:val="center"/>
              <w:rPr>
                <w:rFonts w:ascii="宋体" w:hAnsi="宋体" w:eastAsia="宋体" w:cs="宋体"/>
                <w:sz w:val="13"/>
                <w:szCs w:val="13"/>
              </w:rPr>
            </w:pPr>
          </w:p>
        </w:tc>
        <w:tc>
          <w:tcPr>
            <w:tcW w:w="1051" w:type="dxa"/>
            <w:vAlign w:val="center"/>
          </w:tcPr>
          <w:p>
            <w:pPr>
              <w:jc w:val="center"/>
              <w:rPr>
                <w:rFonts w:ascii="宋体" w:hAnsi="宋体" w:eastAsia="宋体" w:cs="宋体"/>
                <w:sz w:val="13"/>
                <w:szCs w:val="13"/>
              </w:rPr>
            </w:pPr>
          </w:p>
        </w:tc>
        <w:tc>
          <w:tcPr>
            <w:tcW w:w="1066" w:type="dxa"/>
            <w:vAlign w:val="center"/>
          </w:tcPr>
          <w:p>
            <w:pPr>
              <w:jc w:val="center"/>
              <w:rPr>
                <w:rFonts w:ascii="宋体" w:hAnsi="宋体" w:eastAsia="宋体" w:cs="宋体"/>
                <w:sz w:val="13"/>
                <w:szCs w:val="13"/>
              </w:rPr>
            </w:pPr>
          </w:p>
        </w:tc>
        <w:tc>
          <w:tcPr>
            <w:tcW w:w="1141" w:type="dxa"/>
            <w:vAlign w:val="center"/>
          </w:tcPr>
          <w:p>
            <w:pPr>
              <w:jc w:val="center"/>
              <w:rPr>
                <w:rFonts w:ascii="宋体" w:hAnsi="宋体" w:eastAsia="宋体" w:cs="宋体"/>
                <w:sz w:val="13"/>
                <w:szCs w:val="13"/>
              </w:rPr>
            </w:pPr>
          </w:p>
        </w:tc>
        <w:tc>
          <w:tcPr>
            <w:tcW w:w="1306" w:type="dxa"/>
            <w:vAlign w:val="center"/>
          </w:tcPr>
          <w:p>
            <w:pPr>
              <w:jc w:val="center"/>
              <w:rPr>
                <w:rFonts w:ascii="宋体" w:hAnsi="宋体" w:eastAsia="宋体" w:cs="宋体"/>
                <w:sz w:val="13"/>
                <w:szCs w:val="13"/>
              </w:rPr>
            </w:pPr>
          </w:p>
        </w:tc>
        <w:tc>
          <w:tcPr>
            <w:tcW w:w="1427" w:type="dxa"/>
            <w:vAlign w:val="center"/>
          </w:tcPr>
          <w:p>
            <w:pPr>
              <w:jc w:val="cente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9" w:type="dxa"/>
          </w:tcPr>
          <w:p>
            <w:pPr>
              <w:jc w:val="center"/>
              <w:rPr>
                <w:rFonts w:ascii="宋体" w:hAnsi="宋体" w:eastAsia="宋体" w:cs="宋体"/>
                <w:sz w:val="13"/>
                <w:szCs w:val="13"/>
              </w:rPr>
            </w:pPr>
          </w:p>
        </w:tc>
        <w:tc>
          <w:tcPr>
            <w:tcW w:w="2059" w:type="dxa"/>
          </w:tcPr>
          <w:p>
            <w:pPr>
              <w:jc w:val="center"/>
              <w:rPr>
                <w:rFonts w:ascii="宋体" w:hAnsi="宋体" w:eastAsia="宋体" w:cs="宋体"/>
                <w:sz w:val="13"/>
                <w:szCs w:val="13"/>
              </w:rPr>
            </w:pPr>
          </w:p>
        </w:tc>
        <w:tc>
          <w:tcPr>
            <w:tcW w:w="1802" w:type="dxa"/>
          </w:tcPr>
          <w:p>
            <w:pPr>
              <w:jc w:val="center"/>
              <w:rPr>
                <w:rFonts w:ascii="宋体" w:hAnsi="宋体" w:eastAsia="宋体" w:cs="宋体"/>
                <w:sz w:val="13"/>
                <w:szCs w:val="13"/>
              </w:rPr>
            </w:pPr>
          </w:p>
        </w:tc>
        <w:tc>
          <w:tcPr>
            <w:tcW w:w="1282" w:type="dxa"/>
          </w:tcPr>
          <w:p>
            <w:pPr>
              <w:jc w:val="center"/>
              <w:rPr>
                <w:rFonts w:ascii="宋体" w:hAnsi="宋体" w:eastAsia="宋体" w:cs="宋体"/>
                <w:sz w:val="13"/>
                <w:szCs w:val="13"/>
              </w:rPr>
            </w:pPr>
          </w:p>
        </w:tc>
        <w:tc>
          <w:tcPr>
            <w:tcW w:w="1263" w:type="dxa"/>
          </w:tcPr>
          <w:p>
            <w:pPr>
              <w:jc w:val="center"/>
              <w:rPr>
                <w:rFonts w:ascii="宋体" w:hAnsi="宋体" w:eastAsia="宋体" w:cs="宋体"/>
                <w:sz w:val="13"/>
                <w:szCs w:val="13"/>
              </w:rPr>
            </w:pPr>
          </w:p>
        </w:tc>
        <w:tc>
          <w:tcPr>
            <w:tcW w:w="908" w:type="dxa"/>
          </w:tcPr>
          <w:p>
            <w:pPr>
              <w:jc w:val="center"/>
              <w:rPr>
                <w:rFonts w:ascii="宋体" w:hAnsi="宋体" w:eastAsia="宋体" w:cs="宋体"/>
                <w:sz w:val="13"/>
                <w:szCs w:val="13"/>
              </w:rPr>
            </w:pPr>
          </w:p>
        </w:tc>
        <w:tc>
          <w:tcPr>
            <w:tcW w:w="1051" w:type="dxa"/>
          </w:tcPr>
          <w:p>
            <w:pPr>
              <w:jc w:val="center"/>
              <w:rPr>
                <w:rFonts w:ascii="宋体" w:hAnsi="宋体" w:eastAsia="宋体" w:cs="宋体"/>
                <w:sz w:val="13"/>
                <w:szCs w:val="13"/>
              </w:rPr>
            </w:pPr>
          </w:p>
        </w:tc>
        <w:tc>
          <w:tcPr>
            <w:tcW w:w="1066" w:type="dxa"/>
          </w:tcPr>
          <w:p>
            <w:pPr>
              <w:jc w:val="center"/>
              <w:rPr>
                <w:rFonts w:ascii="宋体" w:hAnsi="宋体" w:eastAsia="宋体" w:cs="宋体"/>
                <w:sz w:val="13"/>
                <w:szCs w:val="13"/>
              </w:rPr>
            </w:pPr>
          </w:p>
        </w:tc>
        <w:tc>
          <w:tcPr>
            <w:tcW w:w="1141" w:type="dxa"/>
          </w:tcPr>
          <w:p>
            <w:pPr>
              <w:jc w:val="center"/>
              <w:rPr>
                <w:rFonts w:ascii="宋体" w:hAnsi="宋体" w:eastAsia="宋体" w:cs="宋体"/>
                <w:sz w:val="13"/>
                <w:szCs w:val="13"/>
              </w:rPr>
            </w:pPr>
          </w:p>
        </w:tc>
        <w:tc>
          <w:tcPr>
            <w:tcW w:w="1306" w:type="dxa"/>
          </w:tcPr>
          <w:p>
            <w:pPr>
              <w:jc w:val="center"/>
              <w:rPr>
                <w:rFonts w:ascii="宋体" w:hAnsi="宋体" w:eastAsia="宋体" w:cs="宋体"/>
                <w:sz w:val="13"/>
                <w:szCs w:val="13"/>
              </w:rPr>
            </w:pPr>
          </w:p>
        </w:tc>
        <w:tc>
          <w:tcPr>
            <w:tcW w:w="1427" w:type="dxa"/>
          </w:tcPr>
          <w:p>
            <w:pPr>
              <w:jc w:val="cente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9" w:type="dxa"/>
          </w:tcPr>
          <w:p>
            <w:pPr>
              <w:jc w:val="center"/>
              <w:rPr>
                <w:rFonts w:ascii="宋体" w:hAnsi="宋体" w:eastAsia="宋体" w:cs="宋体"/>
                <w:sz w:val="13"/>
                <w:szCs w:val="13"/>
              </w:rPr>
            </w:pPr>
          </w:p>
        </w:tc>
        <w:tc>
          <w:tcPr>
            <w:tcW w:w="2059" w:type="dxa"/>
          </w:tcPr>
          <w:p>
            <w:pPr>
              <w:jc w:val="center"/>
              <w:rPr>
                <w:rFonts w:ascii="宋体" w:hAnsi="宋体" w:eastAsia="宋体" w:cs="宋体"/>
                <w:sz w:val="13"/>
                <w:szCs w:val="13"/>
              </w:rPr>
            </w:pPr>
          </w:p>
        </w:tc>
        <w:tc>
          <w:tcPr>
            <w:tcW w:w="1802" w:type="dxa"/>
          </w:tcPr>
          <w:p>
            <w:pPr>
              <w:jc w:val="center"/>
              <w:rPr>
                <w:rFonts w:ascii="宋体" w:hAnsi="宋体" w:eastAsia="宋体" w:cs="宋体"/>
                <w:sz w:val="13"/>
                <w:szCs w:val="13"/>
              </w:rPr>
            </w:pPr>
          </w:p>
        </w:tc>
        <w:tc>
          <w:tcPr>
            <w:tcW w:w="1282" w:type="dxa"/>
          </w:tcPr>
          <w:p>
            <w:pPr>
              <w:jc w:val="center"/>
              <w:rPr>
                <w:rFonts w:ascii="宋体" w:hAnsi="宋体" w:eastAsia="宋体" w:cs="宋体"/>
                <w:sz w:val="13"/>
                <w:szCs w:val="13"/>
              </w:rPr>
            </w:pPr>
          </w:p>
        </w:tc>
        <w:tc>
          <w:tcPr>
            <w:tcW w:w="1263" w:type="dxa"/>
          </w:tcPr>
          <w:p>
            <w:pPr>
              <w:jc w:val="center"/>
              <w:rPr>
                <w:rFonts w:ascii="宋体" w:hAnsi="宋体" w:eastAsia="宋体" w:cs="宋体"/>
                <w:sz w:val="13"/>
                <w:szCs w:val="13"/>
              </w:rPr>
            </w:pPr>
          </w:p>
        </w:tc>
        <w:tc>
          <w:tcPr>
            <w:tcW w:w="908" w:type="dxa"/>
          </w:tcPr>
          <w:p>
            <w:pPr>
              <w:jc w:val="center"/>
              <w:rPr>
                <w:rFonts w:ascii="宋体" w:hAnsi="宋体" w:eastAsia="宋体" w:cs="宋体"/>
                <w:sz w:val="13"/>
                <w:szCs w:val="13"/>
              </w:rPr>
            </w:pPr>
          </w:p>
        </w:tc>
        <w:tc>
          <w:tcPr>
            <w:tcW w:w="1051" w:type="dxa"/>
          </w:tcPr>
          <w:p>
            <w:pPr>
              <w:jc w:val="center"/>
              <w:rPr>
                <w:rFonts w:ascii="宋体" w:hAnsi="宋体" w:eastAsia="宋体" w:cs="宋体"/>
                <w:sz w:val="13"/>
                <w:szCs w:val="13"/>
              </w:rPr>
            </w:pPr>
          </w:p>
        </w:tc>
        <w:tc>
          <w:tcPr>
            <w:tcW w:w="1066" w:type="dxa"/>
          </w:tcPr>
          <w:p>
            <w:pPr>
              <w:jc w:val="center"/>
              <w:rPr>
                <w:rFonts w:ascii="宋体" w:hAnsi="宋体" w:eastAsia="宋体" w:cs="宋体"/>
                <w:sz w:val="13"/>
                <w:szCs w:val="13"/>
              </w:rPr>
            </w:pPr>
          </w:p>
        </w:tc>
        <w:tc>
          <w:tcPr>
            <w:tcW w:w="1141" w:type="dxa"/>
          </w:tcPr>
          <w:p>
            <w:pPr>
              <w:jc w:val="center"/>
              <w:rPr>
                <w:rFonts w:ascii="宋体" w:hAnsi="宋体" w:eastAsia="宋体" w:cs="宋体"/>
                <w:sz w:val="13"/>
                <w:szCs w:val="13"/>
              </w:rPr>
            </w:pPr>
          </w:p>
        </w:tc>
        <w:tc>
          <w:tcPr>
            <w:tcW w:w="1306" w:type="dxa"/>
          </w:tcPr>
          <w:p>
            <w:pPr>
              <w:jc w:val="center"/>
              <w:rPr>
                <w:rFonts w:ascii="宋体" w:hAnsi="宋体" w:eastAsia="宋体" w:cs="宋体"/>
                <w:sz w:val="13"/>
                <w:szCs w:val="13"/>
              </w:rPr>
            </w:pPr>
          </w:p>
        </w:tc>
        <w:tc>
          <w:tcPr>
            <w:tcW w:w="1427" w:type="dxa"/>
          </w:tcPr>
          <w:p>
            <w:pPr>
              <w:jc w:val="cente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9" w:type="dxa"/>
          </w:tcPr>
          <w:p>
            <w:pPr>
              <w:jc w:val="center"/>
              <w:rPr>
                <w:rFonts w:ascii="宋体" w:hAnsi="宋体" w:eastAsia="宋体" w:cs="宋体"/>
                <w:sz w:val="13"/>
                <w:szCs w:val="13"/>
              </w:rPr>
            </w:pPr>
          </w:p>
        </w:tc>
        <w:tc>
          <w:tcPr>
            <w:tcW w:w="2059" w:type="dxa"/>
          </w:tcPr>
          <w:p>
            <w:pPr>
              <w:jc w:val="center"/>
              <w:rPr>
                <w:rFonts w:ascii="宋体" w:hAnsi="宋体" w:eastAsia="宋体" w:cs="宋体"/>
                <w:sz w:val="13"/>
                <w:szCs w:val="13"/>
              </w:rPr>
            </w:pPr>
          </w:p>
        </w:tc>
        <w:tc>
          <w:tcPr>
            <w:tcW w:w="1802" w:type="dxa"/>
          </w:tcPr>
          <w:p>
            <w:pPr>
              <w:jc w:val="center"/>
              <w:rPr>
                <w:rFonts w:ascii="宋体" w:hAnsi="宋体" w:eastAsia="宋体" w:cs="宋体"/>
                <w:sz w:val="13"/>
                <w:szCs w:val="13"/>
              </w:rPr>
            </w:pPr>
          </w:p>
        </w:tc>
        <w:tc>
          <w:tcPr>
            <w:tcW w:w="1282" w:type="dxa"/>
          </w:tcPr>
          <w:p>
            <w:pPr>
              <w:jc w:val="center"/>
              <w:rPr>
                <w:rFonts w:ascii="宋体" w:hAnsi="宋体" w:eastAsia="宋体" w:cs="宋体"/>
                <w:sz w:val="13"/>
                <w:szCs w:val="13"/>
              </w:rPr>
            </w:pPr>
          </w:p>
        </w:tc>
        <w:tc>
          <w:tcPr>
            <w:tcW w:w="1263" w:type="dxa"/>
          </w:tcPr>
          <w:p>
            <w:pPr>
              <w:jc w:val="center"/>
              <w:rPr>
                <w:rFonts w:ascii="宋体" w:hAnsi="宋体" w:eastAsia="宋体" w:cs="宋体"/>
                <w:sz w:val="13"/>
                <w:szCs w:val="13"/>
              </w:rPr>
            </w:pPr>
          </w:p>
        </w:tc>
        <w:tc>
          <w:tcPr>
            <w:tcW w:w="908" w:type="dxa"/>
          </w:tcPr>
          <w:p>
            <w:pPr>
              <w:jc w:val="center"/>
              <w:rPr>
                <w:rFonts w:ascii="宋体" w:hAnsi="宋体" w:eastAsia="宋体" w:cs="宋体"/>
                <w:sz w:val="13"/>
                <w:szCs w:val="13"/>
              </w:rPr>
            </w:pPr>
          </w:p>
        </w:tc>
        <w:tc>
          <w:tcPr>
            <w:tcW w:w="1051" w:type="dxa"/>
          </w:tcPr>
          <w:p>
            <w:pPr>
              <w:jc w:val="center"/>
              <w:rPr>
                <w:rFonts w:ascii="宋体" w:hAnsi="宋体" w:eastAsia="宋体" w:cs="宋体"/>
                <w:sz w:val="13"/>
                <w:szCs w:val="13"/>
              </w:rPr>
            </w:pPr>
          </w:p>
        </w:tc>
        <w:tc>
          <w:tcPr>
            <w:tcW w:w="1066" w:type="dxa"/>
          </w:tcPr>
          <w:p>
            <w:pPr>
              <w:jc w:val="center"/>
              <w:rPr>
                <w:rFonts w:ascii="宋体" w:hAnsi="宋体" w:eastAsia="宋体" w:cs="宋体"/>
                <w:sz w:val="13"/>
                <w:szCs w:val="13"/>
              </w:rPr>
            </w:pPr>
          </w:p>
        </w:tc>
        <w:tc>
          <w:tcPr>
            <w:tcW w:w="1141" w:type="dxa"/>
          </w:tcPr>
          <w:p>
            <w:pPr>
              <w:jc w:val="center"/>
              <w:rPr>
                <w:rFonts w:ascii="宋体" w:hAnsi="宋体" w:eastAsia="宋体" w:cs="宋体"/>
                <w:sz w:val="13"/>
                <w:szCs w:val="13"/>
              </w:rPr>
            </w:pPr>
          </w:p>
        </w:tc>
        <w:tc>
          <w:tcPr>
            <w:tcW w:w="1306" w:type="dxa"/>
          </w:tcPr>
          <w:p>
            <w:pPr>
              <w:jc w:val="center"/>
              <w:rPr>
                <w:rFonts w:ascii="宋体" w:hAnsi="宋体" w:eastAsia="宋体" w:cs="宋体"/>
                <w:sz w:val="13"/>
                <w:szCs w:val="13"/>
              </w:rPr>
            </w:pPr>
          </w:p>
        </w:tc>
        <w:tc>
          <w:tcPr>
            <w:tcW w:w="1427" w:type="dxa"/>
          </w:tcPr>
          <w:p>
            <w:pPr>
              <w:jc w:val="cente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79" w:type="dxa"/>
          </w:tcPr>
          <w:p>
            <w:pPr>
              <w:jc w:val="center"/>
              <w:rPr>
                <w:rFonts w:ascii="宋体" w:hAnsi="宋体" w:eastAsia="宋体" w:cs="宋体"/>
                <w:sz w:val="13"/>
                <w:szCs w:val="13"/>
              </w:rPr>
            </w:pPr>
          </w:p>
        </w:tc>
        <w:tc>
          <w:tcPr>
            <w:tcW w:w="2059" w:type="dxa"/>
          </w:tcPr>
          <w:p>
            <w:pPr>
              <w:jc w:val="center"/>
              <w:rPr>
                <w:rFonts w:ascii="宋体" w:hAnsi="宋体" w:eastAsia="宋体" w:cs="宋体"/>
                <w:sz w:val="13"/>
                <w:szCs w:val="13"/>
              </w:rPr>
            </w:pPr>
          </w:p>
        </w:tc>
        <w:tc>
          <w:tcPr>
            <w:tcW w:w="1802" w:type="dxa"/>
          </w:tcPr>
          <w:p>
            <w:pPr>
              <w:jc w:val="center"/>
              <w:rPr>
                <w:rFonts w:ascii="宋体" w:hAnsi="宋体" w:eastAsia="宋体" w:cs="宋体"/>
                <w:sz w:val="13"/>
                <w:szCs w:val="13"/>
              </w:rPr>
            </w:pPr>
          </w:p>
        </w:tc>
        <w:tc>
          <w:tcPr>
            <w:tcW w:w="1282" w:type="dxa"/>
          </w:tcPr>
          <w:p>
            <w:pPr>
              <w:jc w:val="center"/>
              <w:rPr>
                <w:rFonts w:ascii="宋体" w:hAnsi="宋体" w:eastAsia="宋体" w:cs="宋体"/>
                <w:sz w:val="13"/>
                <w:szCs w:val="13"/>
              </w:rPr>
            </w:pPr>
          </w:p>
        </w:tc>
        <w:tc>
          <w:tcPr>
            <w:tcW w:w="1263" w:type="dxa"/>
          </w:tcPr>
          <w:p>
            <w:pPr>
              <w:jc w:val="center"/>
              <w:rPr>
                <w:rFonts w:ascii="宋体" w:hAnsi="宋体" w:eastAsia="宋体" w:cs="宋体"/>
                <w:sz w:val="13"/>
                <w:szCs w:val="13"/>
              </w:rPr>
            </w:pPr>
          </w:p>
        </w:tc>
        <w:tc>
          <w:tcPr>
            <w:tcW w:w="908" w:type="dxa"/>
          </w:tcPr>
          <w:p>
            <w:pPr>
              <w:jc w:val="center"/>
              <w:rPr>
                <w:rFonts w:ascii="宋体" w:hAnsi="宋体" w:eastAsia="宋体" w:cs="宋体"/>
                <w:sz w:val="13"/>
                <w:szCs w:val="13"/>
              </w:rPr>
            </w:pPr>
          </w:p>
        </w:tc>
        <w:tc>
          <w:tcPr>
            <w:tcW w:w="1051" w:type="dxa"/>
          </w:tcPr>
          <w:p>
            <w:pPr>
              <w:jc w:val="center"/>
              <w:rPr>
                <w:rFonts w:ascii="宋体" w:hAnsi="宋体" w:eastAsia="宋体" w:cs="宋体"/>
                <w:sz w:val="13"/>
                <w:szCs w:val="13"/>
              </w:rPr>
            </w:pPr>
          </w:p>
        </w:tc>
        <w:tc>
          <w:tcPr>
            <w:tcW w:w="1066" w:type="dxa"/>
          </w:tcPr>
          <w:p>
            <w:pPr>
              <w:jc w:val="center"/>
              <w:rPr>
                <w:rFonts w:ascii="宋体" w:hAnsi="宋体" w:eastAsia="宋体" w:cs="宋体"/>
                <w:sz w:val="13"/>
                <w:szCs w:val="13"/>
              </w:rPr>
            </w:pPr>
          </w:p>
        </w:tc>
        <w:tc>
          <w:tcPr>
            <w:tcW w:w="1141" w:type="dxa"/>
          </w:tcPr>
          <w:p>
            <w:pPr>
              <w:jc w:val="center"/>
              <w:rPr>
                <w:rFonts w:ascii="宋体" w:hAnsi="宋体" w:eastAsia="宋体" w:cs="宋体"/>
                <w:sz w:val="13"/>
                <w:szCs w:val="13"/>
              </w:rPr>
            </w:pPr>
          </w:p>
        </w:tc>
        <w:tc>
          <w:tcPr>
            <w:tcW w:w="1306" w:type="dxa"/>
          </w:tcPr>
          <w:p>
            <w:pPr>
              <w:jc w:val="center"/>
              <w:rPr>
                <w:rFonts w:ascii="宋体" w:hAnsi="宋体" w:eastAsia="宋体" w:cs="宋体"/>
                <w:sz w:val="13"/>
                <w:szCs w:val="13"/>
              </w:rPr>
            </w:pPr>
          </w:p>
        </w:tc>
        <w:tc>
          <w:tcPr>
            <w:tcW w:w="1427" w:type="dxa"/>
          </w:tcPr>
          <w:p>
            <w:pPr>
              <w:jc w:val="cente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79" w:type="dxa"/>
          </w:tcPr>
          <w:p>
            <w:pPr>
              <w:jc w:val="center"/>
              <w:rPr>
                <w:rFonts w:ascii="宋体" w:hAnsi="宋体" w:eastAsia="宋体" w:cs="宋体"/>
                <w:sz w:val="13"/>
                <w:szCs w:val="13"/>
              </w:rPr>
            </w:pPr>
          </w:p>
        </w:tc>
        <w:tc>
          <w:tcPr>
            <w:tcW w:w="2059" w:type="dxa"/>
          </w:tcPr>
          <w:p>
            <w:pPr>
              <w:jc w:val="center"/>
              <w:rPr>
                <w:rFonts w:ascii="宋体" w:hAnsi="宋体" w:eastAsia="宋体" w:cs="宋体"/>
                <w:sz w:val="13"/>
                <w:szCs w:val="13"/>
              </w:rPr>
            </w:pPr>
          </w:p>
        </w:tc>
        <w:tc>
          <w:tcPr>
            <w:tcW w:w="1802" w:type="dxa"/>
          </w:tcPr>
          <w:p>
            <w:pPr>
              <w:jc w:val="center"/>
              <w:rPr>
                <w:rFonts w:ascii="宋体" w:hAnsi="宋体" w:eastAsia="宋体" w:cs="宋体"/>
                <w:sz w:val="13"/>
                <w:szCs w:val="13"/>
              </w:rPr>
            </w:pPr>
          </w:p>
        </w:tc>
        <w:tc>
          <w:tcPr>
            <w:tcW w:w="1282" w:type="dxa"/>
          </w:tcPr>
          <w:p>
            <w:pPr>
              <w:jc w:val="center"/>
              <w:rPr>
                <w:rFonts w:ascii="宋体" w:hAnsi="宋体" w:eastAsia="宋体" w:cs="宋体"/>
                <w:sz w:val="13"/>
                <w:szCs w:val="13"/>
              </w:rPr>
            </w:pPr>
          </w:p>
        </w:tc>
        <w:tc>
          <w:tcPr>
            <w:tcW w:w="1263" w:type="dxa"/>
          </w:tcPr>
          <w:p>
            <w:pPr>
              <w:jc w:val="center"/>
              <w:rPr>
                <w:rFonts w:ascii="宋体" w:hAnsi="宋体" w:eastAsia="宋体" w:cs="宋体"/>
                <w:sz w:val="13"/>
                <w:szCs w:val="13"/>
              </w:rPr>
            </w:pPr>
          </w:p>
        </w:tc>
        <w:tc>
          <w:tcPr>
            <w:tcW w:w="908" w:type="dxa"/>
          </w:tcPr>
          <w:p>
            <w:pPr>
              <w:jc w:val="center"/>
              <w:rPr>
                <w:rFonts w:ascii="宋体" w:hAnsi="宋体" w:eastAsia="宋体" w:cs="宋体"/>
                <w:sz w:val="13"/>
                <w:szCs w:val="13"/>
              </w:rPr>
            </w:pPr>
          </w:p>
        </w:tc>
        <w:tc>
          <w:tcPr>
            <w:tcW w:w="1051" w:type="dxa"/>
          </w:tcPr>
          <w:p>
            <w:pPr>
              <w:jc w:val="center"/>
              <w:rPr>
                <w:rFonts w:ascii="宋体" w:hAnsi="宋体" w:eastAsia="宋体" w:cs="宋体"/>
                <w:sz w:val="13"/>
                <w:szCs w:val="13"/>
              </w:rPr>
            </w:pPr>
          </w:p>
        </w:tc>
        <w:tc>
          <w:tcPr>
            <w:tcW w:w="1066" w:type="dxa"/>
          </w:tcPr>
          <w:p>
            <w:pPr>
              <w:jc w:val="center"/>
              <w:rPr>
                <w:rFonts w:ascii="宋体" w:hAnsi="宋体" w:eastAsia="宋体" w:cs="宋体"/>
                <w:sz w:val="13"/>
                <w:szCs w:val="13"/>
              </w:rPr>
            </w:pPr>
          </w:p>
        </w:tc>
        <w:tc>
          <w:tcPr>
            <w:tcW w:w="1141" w:type="dxa"/>
          </w:tcPr>
          <w:p>
            <w:pPr>
              <w:jc w:val="center"/>
              <w:rPr>
                <w:rFonts w:ascii="宋体" w:hAnsi="宋体" w:eastAsia="宋体" w:cs="宋体"/>
                <w:sz w:val="13"/>
                <w:szCs w:val="13"/>
              </w:rPr>
            </w:pPr>
          </w:p>
        </w:tc>
        <w:tc>
          <w:tcPr>
            <w:tcW w:w="1306" w:type="dxa"/>
          </w:tcPr>
          <w:p>
            <w:pPr>
              <w:jc w:val="center"/>
              <w:rPr>
                <w:rFonts w:ascii="宋体" w:hAnsi="宋体" w:eastAsia="宋体" w:cs="宋体"/>
                <w:sz w:val="13"/>
                <w:szCs w:val="13"/>
              </w:rPr>
            </w:pPr>
          </w:p>
        </w:tc>
        <w:tc>
          <w:tcPr>
            <w:tcW w:w="1427" w:type="dxa"/>
          </w:tcPr>
          <w:p>
            <w:pPr>
              <w:jc w:val="center"/>
              <w:rPr>
                <w:rFonts w:ascii="宋体" w:hAnsi="宋体" w:eastAsia="宋体" w:cs="宋体"/>
                <w:sz w:val="13"/>
                <w:szCs w:val="13"/>
              </w:rPr>
            </w:pPr>
          </w:p>
        </w:tc>
      </w:tr>
    </w:tbl>
    <w:p>
      <w:pPr>
        <w:jc w:val="left"/>
        <w:rPr>
          <w:rFonts w:ascii="宋体" w:hAnsi="宋体" w:eastAsia="宋体" w:cs="宋体"/>
          <w:sz w:val="28"/>
          <w:szCs w:val="28"/>
        </w:rPr>
      </w:pPr>
      <w:r>
        <w:rPr>
          <w:rFonts w:hint="eastAsia" w:ascii="宋体" w:hAnsi="宋体" w:eastAsia="宋体" w:cs="宋体"/>
          <w:sz w:val="28"/>
          <w:szCs w:val="28"/>
          <w:u w:val="single"/>
        </w:rPr>
        <w:t>　　　　　　</w:t>
      </w:r>
      <w:r>
        <w:rPr>
          <w:rFonts w:hint="eastAsia" w:ascii="宋体" w:hAnsi="宋体" w:eastAsia="宋体" w:cs="宋体"/>
          <w:sz w:val="28"/>
          <w:szCs w:val="28"/>
        </w:rPr>
        <w:t>街道（镇、区园）（盖章）　　　　　　　　　　　　　　　　　　填表时间：</w:t>
      </w:r>
      <w:r>
        <w:rPr>
          <w:rFonts w:hint="eastAsia" w:ascii="宋体" w:hAnsi="宋体" w:eastAsia="宋体" w:cs="宋体"/>
          <w:sz w:val="28"/>
          <w:szCs w:val="28"/>
          <w:u w:val="single"/>
        </w:rPr>
        <w:t>　　　</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w:t>
      </w:r>
    </w:p>
    <w:p>
      <w:pPr>
        <w:jc w:val="left"/>
        <w:rPr>
          <w:rFonts w:ascii="宋体" w:hAnsi="宋体" w:eastAsia="宋体" w:cs="宋体"/>
          <w:sz w:val="28"/>
          <w:szCs w:val="28"/>
        </w:rPr>
      </w:pPr>
      <w:r>
        <w:rPr>
          <w:rFonts w:hint="eastAsia" w:ascii="宋体" w:hAnsi="宋体" w:eastAsia="宋体" w:cs="宋体"/>
          <w:sz w:val="28"/>
          <w:szCs w:val="28"/>
        </w:rPr>
        <w:t>分管负责人：　　　　　　　　　　　　　　　科室负责人：　　　　　　　　　　　　　联系电话：</w:t>
      </w:r>
    </w:p>
    <w:p>
      <w:pPr>
        <w:spacing w:line="380" w:lineRule="exact"/>
        <w:jc w:val="left"/>
        <w:rPr>
          <w:rFonts w:ascii="宋体" w:hAnsi="宋体" w:eastAsia="宋体" w:cs="宋体"/>
          <w:sz w:val="28"/>
          <w:szCs w:val="28"/>
        </w:rPr>
      </w:pPr>
      <w:r>
        <w:rPr>
          <w:rFonts w:hint="eastAsia" w:ascii="宋体" w:hAnsi="宋体" w:eastAsia="宋体" w:cs="宋体"/>
          <w:sz w:val="28"/>
          <w:szCs w:val="28"/>
        </w:rPr>
        <w:t>注：使用多种能源的请在表格中“使用能源种类”的“其他”一栏写清楚，该表格请街道调查摸底时填写，于3月31日前报区“瓶改管”办公室（区住建局）。联系人：黄雨霏，联系电话：83535488，联系邮箱：dfqrqb@163.com。</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仿宋" w:hAnsi="仿宋" w:eastAsia="仿宋"/>
                              <w:sz w:val="28"/>
                              <w:szCs w:val="28"/>
                            </w:rPr>
                          </w:pPr>
                          <w:r>
                            <w:rPr>
                              <w:rFonts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  \* MERGEFORMAT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ascii="仿宋" w:hAnsi="仿宋" w:eastAsia="仿宋"/>
                        <w:sz w:val="28"/>
                        <w:szCs w:val="28"/>
                      </w:rPr>
                    </w:pPr>
                    <w:r>
                      <w:rPr>
                        <w:rFonts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fldChar w:fldCharType="begin"/>
                    </w:r>
                    <w:r>
                      <w:rPr>
                        <w:rFonts w:ascii="仿宋" w:hAnsi="仿宋" w:eastAsia="仿宋"/>
                        <w:color w:val="000000" w:themeColor="text1"/>
                        <w:sz w:val="28"/>
                        <w:szCs w:val="28"/>
                        <w14:textFill>
                          <w14:solidFill>
                            <w14:schemeClr w14:val="tx1"/>
                          </w14:solidFill>
                        </w14:textFill>
                      </w:rPr>
                      <w:instrText xml:space="preserve"> PAGE  \* MERGEFORMAT </w:instrText>
                    </w:r>
                    <w:r>
                      <w:rPr>
                        <w:rFonts w:ascii="仿宋" w:hAnsi="仿宋" w:eastAsia="仿宋"/>
                        <w:color w:val="000000" w:themeColor="text1"/>
                        <w:sz w:val="28"/>
                        <w:szCs w:val="28"/>
                        <w14:textFill>
                          <w14:solidFill>
                            <w14:schemeClr w14:val="tx1"/>
                          </w14:solidFill>
                        </w14:textFill>
                      </w:rPr>
                      <w:fldChar w:fldCharType="separate"/>
                    </w:r>
                    <w:r>
                      <w:rPr>
                        <w:rFonts w:ascii="仿宋" w:hAnsi="仿宋" w:eastAsia="仿宋"/>
                        <w:color w:val="000000" w:themeColor="text1"/>
                        <w:sz w:val="28"/>
                        <w:szCs w:val="28"/>
                        <w14:textFill>
                          <w14:solidFill>
                            <w14:schemeClr w14:val="tx1"/>
                          </w14:solidFill>
                        </w14:textFill>
                      </w:rPr>
                      <w:t>8</w:t>
                    </w:r>
                    <w:r>
                      <w:rPr>
                        <w:rFonts w:ascii="仿宋" w:hAnsi="仿宋" w:eastAsia="仿宋"/>
                        <w:color w:val="000000" w:themeColor="text1"/>
                        <w:sz w:val="28"/>
                        <w:szCs w:val="28"/>
                        <w14:textFill>
                          <w14:solidFill>
                            <w14:schemeClr w14:val="tx1"/>
                          </w14:solidFill>
                        </w14:textFill>
                      </w:rPr>
                      <w:fldChar w:fldCharType="end"/>
                    </w:r>
                    <w:r>
                      <w:rPr>
                        <w:rFonts w:ascii="仿宋" w:hAnsi="仿宋" w:eastAsia="仿宋"/>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8D0F3"/>
    <w:multiLevelType w:val="singleLevel"/>
    <w:tmpl w:val="9488D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Nzc3MGRjZDE3YjViNjhiY2ZhMjg3ZWZjZmI2NTAifQ=="/>
  </w:docVars>
  <w:rsids>
    <w:rsidRoot w:val="00E11994"/>
    <w:rsid w:val="000420AD"/>
    <w:rsid w:val="00052FDC"/>
    <w:rsid w:val="000701F2"/>
    <w:rsid w:val="00091F3C"/>
    <w:rsid w:val="0009664B"/>
    <w:rsid w:val="000B489D"/>
    <w:rsid w:val="000C7310"/>
    <w:rsid w:val="0010366B"/>
    <w:rsid w:val="0011157B"/>
    <w:rsid w:val="00134FDC"/>
    <w:rsid w:val="001542FE"/>
    <w:rsid w:val="00162A16"/>
    <w:rsid w:val="0023433B"/>
    <w:rsid w:val="002A5957"/>
    <w:rsid w:val="002D0547"/>
    <w:rsid w:val="002D2E1F"/>
    <w:rsid w:val="002E4E9E"/>
    <w:rsid w:val="003464DD"/>
    <w:rsid w:val="0038194A"/>
    <w:rsid w:val="003C1E44"/>
    <w:rsid w:val="00467BD7"/>
    <w:rsid w:val="004A7ED5"/>
    <w:rsid w:val="004B2D12"/>
    <w:rsid w:val="00522253"/>
    <w:rsid w:val="0057016A"/>
    <w:rsid w:val="00593700"/>
    <w:rsid w:val="00596835"/>
    <w:rsid w:val="00664618"/>
    <w:rsid w:val="006A5A97"/>
    <w:rsid w:val="00794453"/>
    <w:rsid w:val="007E5185"/>
    <w:rsid w:val="00816301"/>
    <w:rsid w:val="00831B41"/>
    <w:rsid w:val="008B0B5F"/>
    <w:rsid w:val="00930541"/>
    <w:rsid w:val="00952AF5"/>
    <w:rsid w:val="009624C7"/>
    <w:rsid w:val="00A848AE"/>
    <w:rsid w:val="00AA1AB3"/>
    <w:rsid w:val="00AC357F"/>
    <w:rsid w:val="00AD0D59"/>
    <w:rsid w:val="00B35403"/>
    <w:rsid w:val="00B56739"/>
    <w:rsid w:val="00B95F01"/>
    <w:rsid w:val="00C40959"/>
    <w:rsid w:val="00C921E2"/>
    <w:rsid w:val="00C97E5A"/>
    <w:rsid w:val="00CA2FAB"/>
    <w:rsid w:val="00CB0376"/>
    <w:rsid w:val="00CB4BC9"/>
    <w:rsid w:val="00CC07A5"/>
    <w:rsid w:val="00D737EB"/>
    <w:rsid w:val="00D75EBD"/>
    <w:rsid w:val="00E11994"/>
    <w:rsid w:val="00E32524"/>
    <w:rsid w:val="00EB55EF"/>
    <w:rsid w:val="00F51865"/>
    <w:rsid w:val="0221032A"/>
    <w:rsid w:val="02561432"/>
    <w:rsid w:val="03CF3A69"/>
    <w:rsid w:val="03FA2051"/>
    <w:rsid w:val="04C95821"/>
    <w:rsid w:val="04E66EF9"/>
    <w:rsid w:val="07367787"/>
    <w:rsid w:val="08964B56"/>
    <w:rsid w:val="097F3179"/>
    <w:rsid w:val="0A0628EF"/>
    <w:rsid w:val="0AAF1EFF"/>
    <w:rsid w:val="0E530FB1"/>
    <w:rsid w:val="109C4CD3"/>
    <w:rsid w:val="10A122E9"/>
    <w:rsid w:val="11EB4164"/>
    <w:rsid w:val="12BC152B"/>
    <w:rsid w:val="13236B26"/>
    <w:rsid w:val="14D35118"/>
    <w:rsid w:val="16340209"/>
    <w:rsid w:val="16B366ED"/>
    <w:rsid w:val="177025B3"/>
    <w:rsid w:val="1B8371BB"/>
    <w:rsid w:val="1BB4303B"/>
    <w:rsid w:val="1BD64E4C"/>
    <w:rsid w:val="1C7B2FFF"/>
    <w:rsid w:val="1D77325B"/>
    <w:rsid w:val="1E7D6144"/>
    <w:rsid w:val="1ED80850"/>
    <w:rsid w:val="1F542D83"/>
    <w:rsid w:val="224F16AE"/>
    <w:rsid w:val="23F944BF"/>
    <w:rsid w:val="24294678"/>
    <w:rsid w:val="251A15D1"/>
    <w:rsid w:val="26527EB6"/>
    <w:rsid w:val="26A61FB0"/>
    <w:rsid w:val="27B677BB"/>
    <w:rsid w:val="27F17EF5"/>
    <w:rsid w:val="28371B14"/>
    <w:rsid w:val="29FE7A00"/>
    <w:rsid w:val="2A9A1E2C"/>
    <w:rsid w:val="2CAD66EF"/>
    <w:rsid w:val="2EFA10EB"/>
    <w:rsid w:val="327428C4"/>
    <w:rsid w:val="328674B1"/>
    <w:rsid w:val="361E1B63"/>
    <w:rsid w:val="38BB3D60"/>
    <w:rsid w:val="3A8A62CC"/>
    <w:rsid w:val="3AF450C4"/>
    <w:rsid w:val="3D695DB9"/>
    <w:rsid w:val="3F890C1F"/>
    <w:rsid w:val="41B263E6"/>
    <w:rsid w:val="431D6522"/>
    <w:rsid w:val="43846713"/>
    <w:rsid w:val="43EF4B3E"/>
    <w:rsid w:val="46D149CF"/>
    <w:rsid w:val="487815A6"/>
    <w:rsid w:val="4C945A8A"/>
    <w:rsid w:val="4CEB07C6"/>
    <w:rsid w:val="4D023FEB"/>
    <w:rsid w:val="4E9702AC"/>
    <w:rsid w:val="4E973857"/>
    <w:rsid w:val="50D76656"/>
    <w:rsid w:val="50F804CD"/>
    <w:rsid w:val="51D5435D"/>
    <w:rsid w:val="51D75F31"/>
    <w:rsid w:val="52E224E5"/>
    <w:rsid w:val="5977144A"/>
    <w:rsid w:val="5BCA7F13"/>
    <w:rsid w:val="5C1D0E41"/>
    <w:rsid w:val="5F2E2328"/>
    <w:rsid w:val="5F690C42"/>
    <w:rsid w:val="61897D1C"/>
    <w:rsid w:val="61C96739"/>
    <w:rsid w:val="62BA1E88"/>
    <w:rsid w:val="62E726C4"/>
    <w:rsid w:val="65D4764E"/>
    <w:rsid w:val="675D093C"/>
    <w:rsid w:val="6829403A"/>
    <w:rsid w:val="684B5077"/>
    <w:rsid w:val="68D128E1"/>
    <w:rsid w:val="6B2C6060"/>
    <w:rsid w:val="6BCF6E80"/>
    <w:rsid w:val="6BE04F47"/>
    <w:rsid w:val="6D0A3398"/>
    <w:rsid w:val="6DB84CC3"/>
    <w:rsid w:val="6E183550"/>
    <w:rsid w:val="6EFB0481"/>
    <w:rsid w:val="7060454A"/>
    <w:rsid w:val="70D91FE6"/>
    <w:rsid w:val="718D75C1"/>
    <w:rsid w:val="724834E8"/>
    <w:rsid w:val="72B648F6"/>
    <w:rsid w:val="73194D81"/>
    <w:rsid w:val="73B40A19"/>
    <w:rsid w:val="771E384F"/>
    <w:rsid w:val="77521091"/>
    <w:rsid w:val="7839592A"/>
    <w:rsid w:val="7A682979"/>
    <w:rsid w:val="7AD149C3"/>
    <w:rsid w:val="7ADF73C2"/>
    <w:rsid w:val="7DBE1355"/>
    <w:rsid w:val="7F8E0D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spacing w:beforeAutospacing="1" w:afterAutospacing="1"/>
      <w:outlineLvl w:val="1"/>
    </w:pPr>
    <w:rPr>
      <w:rFonts w:ascii="宋体" w:hAnsi="宋体" w:eastAsia="宋体" w:cs="Times New Roman"/>
      <w:b/>
      <w:sz w:val="36"/>
      <w:szCs w:val="36"/>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7035</Words>
  <Characters>7158</Characters>
  <Lines>56</Lines>
  <Paragraphs>15</Paragraphs>
  <TotalTime>4</TotalTime>
  <ScaleCrop>false</ScaleCrop>
  <LinksUpToDate>false</LinksUpToDate>
  <CharactersWithSpaces>7492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2023-02-22T07:07:00Z</dcterms:created>
  <dc:creator>DF</dc:creator>
  <cp:lastModifiedBy>陈卅</cp:lastModifiedBy>
  <cp:lastPrinted>2023-02-27T09:11:00Z</cp:lastPrinted>
  <dcterms:modified xsi:type="dcterms:W3CDTF">2023-03-07T01:59:07Z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0FBB9E1AA6184B19B128E14E14573953</vt:lpwstr>
  </property>
</Properties>
</file>