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黑体" w:hAnsi="黑体" w:eastAsia="黑体" w:cs="黑体"/>
          <w:kern w:val="24"/>
          <w:sz w:val="32"/>
          <w:szCs w:val="32"/>
          <w:lang w:val="en-US" w:eastAsia="zh-CN"/>
        </w:rPr>
      </w:pPr>
      <w:r>
        <w:rPr>
          <w:rFonts w:hint="eastAsia" w:ascii="黑体" w:hAnsi="黑体" w:eastAsia="黑体" w:cs="黑体"/>
          <w:kern w:val="24"/>
          <w:sz w:val="32"/>
          <w:szCs w:val="32"/>
          <w:lang w:val="en-US" w:eastAsia="zh-CN"/>
        </w:rPr>
        <w:t>附件2</w:t>
      </w:r>
    </w:p>
    <w:p>
      <w:pPr>
        <w:spacing w:line="594" w:lineRule="exact"/>
        <w:jc w:val="center"/>
        <w:rPr>
          <w:rFonts w:hint="eastAsia" w:ascii="仿宋" w:hAnsi="仿宋" w:eastAsia="仿宋" w:cs="仿宋"/>
          <w:b/>
          <w:bCs/>
          <w:kern w:val="24"/>
          <w:sz w:val="32"/>
          <w:szCs w:val="32"/>
          <w:lang w:eastAsia="zh-CN"/>
        </w:rPr>
      </w:pPr>
      <w:r>
        <w:rPr>
          <w:rFonts w:hint="eastAsia" w:ascii="仿宋" w:hAnsi="仿宋" w:eastAsia="仿宋" w:cs="仿宋"/>
          <w:b/>
          <w:bCs/>
          <w:kern w:val="24"/>
          <w:sz w:val="32"/>
          <w:szCs w:val="32"/>
          <w:lang w:val="en-US" w:eastAsia="zh-CN"/>
        </w:rPr>
        <w:t>2020年度</w:t>
      </w:r>
      <w:r>
        <w:rPr>
          <w:rFonts w:hint="eastAsia" w:ascii="仿宋" w:hAnsi="仿宋" w:eastAsia="仿宋" w:cs="仿宋"/>
          <w:b/>
          <w:bCs/>
          <w:kern w:val="24"/>
          <w:sz w:val="32"/>
          <w:szCs w:val="32"/>
        </w:rPr>
        <w:t>安全生产</w:t>
      </w:r>
      <w:r>
        <w:rPr>
          <w:rFonts w:hint="eastAsia" w:ascii="仿宋" w:hAnsi="仿宋" w:eastAsia="仿宋" w:cs="仿宋"/>
          <w:b/>
          <w:bCs/>
          <w:kern w:val="24"/>
          <w:sz w:val="32"/>
          <w:szCs w:val="32"/>
          <w:lang w:eastAsia="zh-CN"/>
        </w:rPr>
        <w:t>费用提取和使用、教育</w:t>
      </w:r>
      <w:r>
        <w:rPr>
          <w:rFonts w:hint="eastAsia" w:ascii="仿宋" w:hAnsi="仿宋" w:eastAsia="仿宋" w:cs="仿宋"/>
          <w:b/>
          <w:bCs/>
          <w:kern w:val="24"/>
          <w:sz w:val="32"/>
          <w:szCs w:val="32"/>
        </w:rPr>
        <w:t>培训</w:t>
      </w:r>
      <w:r>
        <w:rPr>
          <w:rFonts w:hint="eastAsia" w:ascii="仿宋" w:hAnsi="仿宋" w:eastAsia="仿宋" w:cs="仿宋"/>
          <w:b/>
          <w:bCs/>
          <w:kern w:val="24"/>
          <w:sz w:val="32"/>
          <w:szCs w:val="32"/>
          <w:lang w:eastAsia="zh-CN"/>
        </w:rPr>
        <w:t>和持证上岗</w:t>
      </w:r>
    </w:p>
    <w:p>
      <w:pPr>
        <w:spacing w:line="594" w:lineRule="exact"/>
        <w:jc w:val="center"/>
        <w:rPr>
          <w:rFonts w:hint="eastAsia" w:ascii="仿宋" w:hAnsi="仿宋" w:eastAsia="仿宋" w:cs="仿宋"/>
          <w:b/>
          <w:bCs/>
          <w:kern w:val="24"/>
          <w:sz w:val="32"/>
          <w:szCs w:val="32"/>
          <w:lang w:val="zh-CN"/>
        </w:rPr>
      </w:pPr>
      <w:r>
        <w:rPr>
          <w:rFonts w:hint="eastAsia" w:ascii="仿宋" w:hAnsi="仿宋" w:eastAsia="仿宋" w:cs="仿宋"/>
          <w:b/>
          <w:bCs/>
          <w:kern w:val="24"/>
          <w:sz w:val="32"/>
          <w:szCs w:val="32"/>
        </w:rPr>
        <w:t>专项检查</w:t>
      </w:r>
      <w:r>
        <w:rPr>
          <w:rFonts w:hint="eastAsia" w:ascii="仿宋" w:hAnsi="仿宋" w:eastAsia="仿宋" w:cs="仿宋"/>
          <w:b/>
          <w:bCs/>
          <w:kern w:val="24"/>
          <w:sz w:val="32"/>
          <w:szCs w:val="32"/>
          <w:lang w:val="zh-CN"/>
        </w:rPr>
        <w:t>表</w:t>
      </w:r>
    </w:p>
    <w:p>
      <w:pPr>
        <w:spacing w:line="594" w:lineRule="exact"/>
        <w:jc w:val="left"/>
        <w:rPr>
          <w:rFonts w:hint="default" w:ascii="仿宋_GB2312" w:hAnsi="仿宋" w:eastAsia="仿宋_GB2312" w:cs="仿宋_GB2312"/>
          <w:b w:val="0"/>
          <w:bCs w:val="0"/>
          <w:sz w:val="28"/>
          <w:szCs w:val="28"/>
          <w:lang w:val="en-US" w:eastAsia="zh-CN"/>
        </w:rPr>
      </w:pPr>
      <w:r>
        <w:rPr>
          <w:rFonts w:hint="eastAsia" w:ascii="仿宋_GB2312" w:hAnsi="仿宋" w:eastAsia="仿宋_GB2312" w:cs="仿宋_GB2312"/>
          <w:b w:val="0"/>
          <w:bCs w:val="0"/>
          <w:sz w:val="28"/>
          <w:szCs w:val="28"/>
          <w:lang w:val="zh-CN"/>
        </w:rPr>
        <w:t>单位名称（盖章）：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55"/>
        <w:gridCol w:w="25"/>
        <w:gridCol w:w="20"/>
        <w:gridCol w:w="1430"/>
        <w:gridCol w:w="175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9" w:type="dxa"/>
            <w:noWrap w:val="0"/>
            <w:vAlign w:val="center"/>
          </w:tcPr>
          <w:p>
            <w:pPr>
              <w:spacing w:line="594" w:lineRule="exact"/>
              <w:jc w:val="center"/>
              <w:rPr>
                <w:rFonts w:hint="eastAsia" w:ascii="仿宋_GB2312" w:hAnsi="仿宋" w:eastAsia="仿宋_GB2312" w:cs="仿宋_GB2312"/>
                <w:b/>
                <w:bCs/>
                <w:sz w:val="28"/>
                <w:szCs w:val="28"/>
                <w:lang w:val="en-US" w:eastAsia="zh-CN"/>
              </w:rPr>
            </w:pPr>
            <w:r>
              <w:rPr>
                <w:rFonts w:hint="eastAsia" w:ascii="仿宋_GB2312" w:hAnsi="仿宋" w:eastAsia="仿宋_GB2312" w:cs="仿宋_GB2312"/>
                <w:b/>
                <w:bCs/>
                <w:sz w:val="28"/>
                <w:szCs w:val="28"/>
                <w:lang w:val="en-US" w:eastAsia="zh-CN"/>
              </w:rPr>
              <w:t>序号</w:t>
            </w:r>
          </w:p>
        </w:tc>
        <w:tc>
          <w:tcPr>
            <w:tcW w:w="2880" w:type="dxa"/>
            <w:gridSpan w:val="2"/>
            <w:noWrap w:val="0"/>
            <w:vAlign w:val="center"/>
          </w:tcPr>
          <w:p>
            <w:pPr>
              <w:spacing w:line="594" w:lineRule="exact"/>
              <w:jc w:val="center"/>
              <w:rPr>
                <w:rFonts w:hint="eastAsia" w:ascii="仿宋_GB2312" w:hAnsi="仿宋" w:eastAsia="仿宋_GB2312" w:cs="仿宋_GB2312"/>
                <w:b/>
                <w:bCs/>
                <w:sz w:val="28"/>
                <w:szCs w:val="28"/>
                <w:lang w:val="zh-CN"/>
              </w:rPr>
            </w:pPr>
            <w:r>
              <w:rPr>
                <w:rFonts w:hint="eastAsia" w:ascii="仿宋_GB2312" w:hAnsi="仿宋" w:eastAsia="仿宋_GB2312" w:cs="仿宋_GB2312"/>
                <w:b/>
                <w:bCs/>
                <w:sz w:val="28"/>
                <w:szCs w:val="28"/>
                <w:lang w:val="zh-CN"/>
              </w:rPr>
              <w:t>检查项目及内容</w:t>
            </w:r>
          </w:p>
        </w:tc>
        <w:tc>
          <w:tcPr>
            <w:tcW w:w="1450" w:type="dxa"/>
            <w:gridSpan w:val="2"/>
            <w:noWrap w:val="0"/>
            <w:vAlign w:val="center"/>
          </w:tcPr>
          <w:p>
            <w:pPr>
              <w:spacing w:line="594" w:lineRule="exact"/>
              <w:jc w:val="center"/>
              <w:rPr>
                <w:rFonts w:hint="eastAsia" w:ascii="仿宋_GB2312" w:hAnsi="仿宋" w:eastAsia="仿宋_GB2312" w:cs="仿宋_GB2312"/>
                <w:b/>
                <w:bCs/>
                <w:sz w:val="28"/>
                <w:szCs w:val="28"/>
                <w:lang w:val="zh-CN"/>
              </w:rPr>
            </w:pPr>
            <w:r>
              <w:rPr>
                <w:rFonts w:hint="eastAsia" w:ascii="仿宋_GB2312" w:hAnsi="仿宋" w:eastAsia="仿宋_GB2312" w:cs="仿宋_GB2312"/>
                <w:b/>
                <w:bCs/>
                <w:sz w:val="28"/>
                <w:szCs w:val="28"/>
                <w:lang w:val="zh-CN"/>
              </w:rPr>
              <w:t>检查方式</w:t>
            </w:r>
          </w:p>
        </w:tc>
        <w:tc>
          <w:tcPr>
            <w:tcW w:w="1755" w:type="dxa"/>
            <w:noWrap w:val="0"/>
            <w:vAlign w:val="center"/>
          </w:tcPr>
          <w:p>
            <w:pPr>
              <w:spacing w:line="594" w:lineRule="exact"/>
              <w:jc w:val="center"/>
              <w:rPr>
                <w:rFonts w:hint="eastAsia" w:ascii="仿宋_GB2312" w:hAnsi="仿宋" w:eastAsia="仿宋_GB2312" w:cs="仿宋_GB2312"/>
                <w:b/>
                <w:bCs/>
                <w:sz w:val="28"/>
                <w:szCs w:val="28"/>
                <w:lang w:val="zh-CN"/>
              </w:rPr>
            </w:pPr>
            <w:r>
              <w:rPr>
                <w:rFonts w:hint="eastAsia" w:ascii="仿宋_GB2312" w:hAnsi="仿宋" w:eastAsia="仿宋_GB2312" w:cs="仿宋_GB2312"/>
                <w:b/>
                <w:bCs/>
                <w:sz w:val="28"/>
                <w:szCs w:val="28"/>
                <w:lang w:val="zh-CN"/>
              </w:rPr>
              <w:t>法律依据</w:t>
            </w:r>
          </w:p>
        </w:tc>
        <w:tc>
          <w:tcPr>
            <w:tcW w:w="1508" w:type="dxa"/>
            <w:noWrap w:val="0"/>
            <w:vAlign w:val="center"/>
          </w:tcPr>
          <w:p>
            <w:pPr>
              <w:spacing w:line="594" w:lineRule="exact"/>
              <w:jc w:val="center"/>
              <w:rPr>
                <w:rFonts w:hint="eastAsia" w:ascii="仿宋_GB2312" w:hAnsi="仿宋" w:eastAsia="仿宋_GB2312" w:cs="仿宋_GB2312"/>
                <w:b/>
                <w:bCs/>
                <w:sz w:val="28"/>
                <w:szCs w:val="28"/>
                <w:lang w:val="zh-CN"/>
              </w:rPr>
            </w:pPr>
            <w:r>
              <w:rPr>
                <w:rFonts w:hint="eastAsia" w:ascii="仿宋_GB2312" w:hAnsi="仿宋" w:eastAsia="仿宋_GB2312" w:cs="仿宋_GB2312"/>
                <w:b/>
                <w:bCs/>
                <w:sz w:val="28"/>
                <w:szCs w:val="28"/>
                <w:lang w:val="zh-CN"/>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09" w:type="dxa"/>
            <w:noWrap w:val="0"/>
            <w:vAlign w:val="center"/>
          </w:tcPr>
          <w:p>
            <w:pPr>
              <w:spacing w:line="594" w:lineRule="exact"/>
              <w:jc w:val="center"/>
              <w:rPr>
                <w:rFonts w:hint="eastAsia" w:ascii="仿宋_GB2312" w:hAnsi="仿宋" w:eastAsia="仿宋_GB2312" w:cs="仿宋_GB2312"/>
                <w:b/>
                <w:bCs/>
                <w:sz w:val="28"/>
                <w:szCs w:val="28"/>
                <w:lang w:val="en-US" w:eastAsia="zh-CN"/>
              </w:rPr>
            </w:pPr>
            <w:r>
              <w:rPr>
                <w:rFonts w:hint="eastAsia" w:ascii="仿宋_GB2312" w:hAnsi="仿宋" w:eastAsia="仿宋_GB2312" w:cs="仿宋_GB2312"/>
                <w:b/>
                <w:bCs/>
                <w:sz w:val="28"/>
                <w:szCs w:val="28"/>
                <w:lang w:val="en-US" w:eastAsia="zh-CN"/>
              </w:rPr>
              <w:t>一</w:t>
            </w:r>
          </w:p>
        </w:tc>
        <w:tc>
          <w:tcPr>
            <w:tcW w:w="7593" w:type="dxa"/>
            <w:gridSpan w:val="6"/>
            <w:noWrap w:val="0"/>
            <w:vAlign w:val="center"/>
          </w:tcPr>
          <w:p>
            <w:pPr>
              <w:spacing w:line="594" w:lineRule="exact"/>
              <w:jc w:val="both"/>
              <w:rPr>
                <w:rFonts w:hint="eastAsia" w:ascii="仿宋_GB2312" w:hAnsi="仿宋" w:eastAsia="仿宋_GB2312" w:cs="仿宋_GB2312"/>
                <w:b/>
                <w:bCs/>
                <w:sz w:val="28"/>
                <w:szCs w:val="28"/>
                <w:lang w:val="zh-CN"/>
              </w:rPr>
            </w:pPr>
            <w:r>
              <w:rPr>
                <w:rFonts w:hint="eastAsia" w:ascii="仿宋_GB2312" w:hAnsi="仿宋" w:eastAsia="仿宋_GB2312" w:cs="仿宋_GB2312"/>
                <w:b/>
                <w:bCs/>
                <w:sz w:val="28"/>
                <w:szCs w:val="28"/>
                <w:lang w:val="zh-CN"/>
              </w:rPr>
              <w:t>安全生产费用提取和使用情况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1</w:t>
            </w:r>
          </w:p>
        </w:tc>
        <w:tc>
          <w:tcPr>
            <w:tcW w:w="28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危化品生产储存、冶金、机械制造等单位是否建立健全内部安全费用管理制度，明确安全费用提取和使用的程序、职责及权限，按规定提取和使用安全费用。</w:t>
            </w:r>
          </w:p>
        </w:tc>
        <w:tc>
          <w:tcPr>
            <w:tcW w:w="1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查制度建立</w:t>
            </w:r>
          </w:p>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情况</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《企业安全生产费用提取和使用管理办法》（财企〔2012〕16号）第三十一条</w:t>
            </w:r>
          </w:p>
        </w:tc>
        <w:tc>
          <w:tcPr>
            <w:tcW w:w="1508" w:type="dxa"/>
            <w:noWrap w:val="0"/>
            <w:vAlign w:val="center"/>
          </w:tcPr>
          <w:p>
            <w:pPr>
              <w:spacing w:line="594" w:lineRule="exact"/>
              <w:jc w:val="both"/>
              <w:rPr>
                <w:rFonts w:hint="eastAsia" w:ascii="仿宋_GB2312" w:hAnsi="仿宋" w:eastAsia="仿宋_GB2312" w:cs="仿宋_GB2312"/>
                <w:b/>
                <w:bCs/>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2</w:t>
            </w:r>
          </w:p>
        </w:tc>
        <w:tc>
          <w:tcPr>
            <w:tcW w:w="28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宋体" w:hAnsi="宋体" w:eastAsia="宋体" w:cs="宋体"/>
                <w:i w:val="0"/>
                <w:caps w:val="0"/>
                <w:color w:val="000000"/>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危化品生产储存、冶金、机械制造等单位是否编制年度安全费用提取和使用计划，纳入企业财务预算。</w:t>
            </w:r>
          </w:p>
        </w:tc>
        <w:tc>
          <w:tcPr>
            <w:tcW w:w="1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查计划制定</w:t>
            </w:r>
          </w:p>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情况</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《企业安全生产费用提取和使用管理办法》（财企〔2012〕16号）第三十二条</w:t>
            </w:r>
          </w:p>
        </w:tc>
        <w:tc>
          <w:tcPr>
            <w:tcW w:w="1508" w:type="dxa"/>
            <w:noWrap w:val="0"/>
            <w:vAlign w:val="center"/>
          </w:tcPr>
          <w:p>
            <w:pPr>
              <w:spacing w:line="594" w:lineRule="exact"/>
              <w:jc w:val="both"/>
              <w:rPr>
                <w:rFonts w:hint="eastAsia" w:ascii="仿宋_GB2312" w:hAnsi="仿宋" w:eastAsia="仿宋_GB2312" w:cs="仿宋_GB2312"/>
                <w:b/>
                <w:bCs/>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3</w:t>
            </w:r>
          </w:p>
        </w:tc>
        <w:tc>
          <w:tcPr>
            <w:tcW w:w="28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危化品生产储存、冶金、机械制造等单位是否按照规定提取安全生产费用，其它单位实际发生的安全生产资金投入是否在成本中列支。</w:t>
            </w:r>
          </w:p>
        </w:tc>
        <w:tc>
          <w:tcPr>
            <w:tcW w:w="1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《安全生产法》第二十条、</w:t>
            </w:r>
            <w:r>
              <w:rPr>
                <w:rFonts w:hint="eastAsia" w:ascii="微软雅黑" w:hAnsi="微软雅黑" w:eastAsia="微软雅黑" w:cs="微软雅黑"/>
                <w:i w:val="0"/>
                <w:caps w:val="0"/>
                <w:color w:val="555555"/>
                <w:spacing w:val="0"/>
                <w:sz w:val="19"/>
                <w:szCs w:val="19"/>
                <w:shd w:val="clear" w:color="auto" w:fill="FFFFFF"/>
                <w:lang w:val="en-US" w:eastAsia="zh-CN"/>
              </w:rPr>
              <w:t>《企业安全生产费用提取和使用管理办法》财企〔2012〕16号</w:t>
            </w:r>
          </w:p>
        </w:tc>
        <w:tc>
          <w:tcPr>
            <w:tcW w:w="1508" w:type="dxa"/>
            <w:noWrap w:val="0"/>
            <w:vAlign w:val="center"/>
          </w:tcPr>
          <w:p>
            <w:pPr>
              <w:spacing w:line="594" w:lineRule="exact"/>
              <w:jc w:val="both"/>
              <w:rPr>
                <w:rFonts w:hint="eastAsia" w:ascii="仿宋_GB2312" w:hAnsi="仿宋" w:eastAsia="仿宋_GB2312" w:cs="仿宋_GB2312"/>
                <w:b/>
                <w:bCs/>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4</w:t>
            </w:r>
          </w:p>
        </w:tc>
        <w:tc>
          <w:tcPr>
            <w:tcW w:w="28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生产经营单位是否安排用于配备劳动防护用品、进行安全生产培训的经费。</w:t>
            </w:r>
          </w:p>
        </w:tc>
        <w:tc>
          <w:tcPr>
            <w:tcW w:w="1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查台账、向从业人员核实</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《安全生产法》第四十四条</w:t>
            </w:r>
          </w:p>
        </w:tc>
        <w:tc>
          <w:tcPr>
            <w:tcW w:w="1508" w:type="dxa"/>
            <w:noWrap w:val="0"/>
            <w:vAlign w:val="center"/>
          </w:tcPr>
          <w:p>
            <w:pPr>
              <w:spacing w:line="594" w:lineRule="exact"/>
              <w:jc w:val="both"/>
              <w:rPr>
                <w:rFonts w:hint="eastAsia" w:ascii="仿宋_GB2312" w:hAnsi="仿宋" w:eastAsia="仿宋_GB2312" w:cs="仿宋_GB2312"/>
                <w:b/>
                <w:bCs/>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5</w:t>
            </w:r>
          </w:p>
        </w:tc>
        <w:tc>
          <w:tcPr>
            <w:tcW w:w="28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国家规定的其他安全生产所必须的资金投入。</w:t>
            </w:r>
          </w:p>
        </w:tc>
        <w:tc>
          <w:tcPr>
            <w:tcW w:w="1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w:t>
            </w:r>
          </w:p>
        </w:tc>
        <w:tc>
          <w:tcPr>
            <w:tcW w:w="1755"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《安全生产法》第二十条、《企业安全生产费用提取和使用管理办法》财企〔2012〕16号</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09" w:type="dxa"/>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en-US" w:eastAsia="zh-CN"/>
              </w:rPr>
              <w:t>序号</w:t>
            </w:r>
          </w:p>
        </w:tc>
        <w:tc>
          <w:tcPr>
            <w:tcW w:w="2900" w:type="dxa"/>
            <w:gridSpan w:val="3"/>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检查项目及内容</w:t>
            </w:r>
          </w:p>
        </w:tc>
        <w:tc>
          <w:tcPr>
            <w:tcW w:w="1430" w:type="dxa"/>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检查方式</w:t>
            </w:r>
          </w:p>
        </w:tc>
        <w:tc>
          <w:tcPr>
            <w:tcW w:w="1755" w:type="dxa"/>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法律依据</w:t>
            </w:r>
          </w:p>
        </w:tc>
        <w:tc>
          <w:tcPr>
            <w:tcW w:w="1508" w:type="dxa"/>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09" w:type="dxa"/>
            <w:noWrap w:val="0"/>
            <w:vAlign w:val="center"/>
          </w:tcPr>
          <w:p>
            <w:pPr>
              <w:spacing w:line="594" w:lineRule="exact"/>
              <w:jc w:val="center"/>
              <w:rPr>
                <w:rFonts w:hint="eastAsia" w:ascii="仿宋_GB2312" w:hAnsi="仿宋" w:eastAsia="仿宋_GB2312" w:cs="仿宋_GB2312"/>
                <w:b/>
                <w:bCs/>
                <w:sz w:val="28"/>
                <w:szCs w:val="28"/>
                <w:lang w:val="zh-CN"/>
              </w:rPr>
            </w:pPr>
            <w:r>
              <w:rPr>
                <w:rFonts w:hint="eastAsia" w:ascii="仿宋_GB2312" w:hAnsi="仿宋" w:eastAsia="仿宋_GB2312" w:cs="仿宋_GB2312"/>
                <w:b/>
                <w:bCs/>
                <w:sz w:val="28"/>
                <w:szCs w:val="28"/>
                <w:lang w:val="zh-CN"/>
              </w:rPr>
              <w:t>二</w:t>
            </w:r>
          </w:p>
        </w:tc>
        <w:tc>
          <w:tcPr>
            <w:tcW w:w="7593" w:type="dxa"/>
            <w:gridSpan w:val="6"/>
            <w:noWrap w:val="0"/>
            <w:vAlign w:val="center"/>
          </w:tcPr>
          <w:p>
            <w:pPr>
              <w:spacing w:line="594" w:lineRule="exact"/>
              <w:jc w:val="both"/>
              <w:rPr>
                <w:rFonts w:hint="eastAsia" w:ascii="仿宋_GB2312" w:hAnsi="仿宋" w:eastAsia="仿宋_GB2312" w:cs="仿宋_GB2312"/>
                <w:b/>
                <w:bCs/>
                <w:sz w:val="28"/>
                <w:szCs w:val="28"/>
                <w:lang w:val="zh-CN"/>
              </w:rPr>
            </w:pPr>
            <w:r>
              <w:rPr>
                <w:rFonts w:hint="eastAsia" w:ascii="仿宋_GB2312" w:hAnsi="仿宋" w:eastAsia="仿宋_GB2312" w:cs="仿宋_GB2312"/>
                <w:b/>
                <w:bCs/>
                <w:sz w:val="28"/>
                <w:szCs w:val="28"/>
                <w:lang w:val="zh-CN"/>
              </w:rPr>
              <w:t>安全生产教育培训和考核情况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1</w:t>
            </w:r>
          </w:p>
        </w:tc>
        <w:tc>
          <w:tcPr>
            <w:tcW w:w="28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生产经营单位的主要负责人是否组织制定并实施本单位安全生产教育和培训计划。</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查台账、向从业人员核实</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w:t>
            </w:r>
            <w:r>
              <w:rPr>
                <w:rFonts w:hint="default" w:ascii="微软雅黑" w:hAnsi="微软雅黑" w:eastAsia="微软雅黑" w:cs="微软雅黑"/>
                <w:i w:val="0"/>
                <w:caps w:val="0"/>
                <w:color w:val="555555"/>
                <w:spacing w:val="0"/>
                <w:sz w:val="19"/>
                <w:szCs w:val="19"/>
                <w:shd w:val="clear" w:color="auto" w:fill="FFFFFF"/>
                <w:lang w:val="zh-CN" w:eastAsia="zh-CN"/>
              </w:rPr>
              <w:t>安全生产法》</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第十八条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2</w:t>
            </w:r>
          </w:p>
        </w:tc>
        <w:tc>
          <w:tcPr>
            <w:tcW w:w="28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生产经营单位的安全生产管理机构以及安全生产管理人员是否组织或者参与本单位安全生产教育和培训，如实记录安全生产教育和培训情况。</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查台账、向从业人员核实</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w:t>
            </w:r>
            <w:r>
              <w:rPr>
                <w:rFonts w:hint="default" w:ascii="微软雅黑" w:hAnsi="微软雅黑" w:eastAsia="微软雅黑" w:cs="微软雅黑"/>
                <w:i w:val="0"/>
                <w:caps w:val="0"/>
                <w:color w:val="555555"/>
                <w:spacing w:val="0"/>
                <w:sz w:val="19"/>
                <w:szCs w:val="19"/>
                <w:shd w:val="clear" w:color="auto" w:fill="FFFFFF"/>
                <w:lang w:val="zh-CN" w:eastAsia="zh-CN"/>
              </w:rPr>
              <w:t>安全生产法》</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第二十二条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3</w:t>
            </w:r>
          </w:p>
        </w:tc>
        <w:tc>
          <w:tcPr>
            <w:tcW w:w="2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生产经营单位是否对从业人员进行安全生产教育和培训，保证从业人员具备必要的安全生产知识，熟悉有关的安全生产规章制度和安全操作规程，掌握本岗位的安全操作技能，了解事故应急处理措施，知悉自身在安全生产方面的权利和义务。</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查台账、对从业人员现场</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抽考</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w:t>
            </w:r>
            <w:r>
              <w:rPr>
                <w:rFonts w:hint="default" w:ascii="微软雅黑" w:hAnsi="微软雅黑" w:eastAsia="微软雅黑" w:cs="微软雅黑"/>
                <w:i w:val="0"/>
                <w:caps w:val="0"/>
                <w:color w:val="555555"/>
                <w:spacing w:val="0"/>
                <w:sz w:val="19"/>
                <w:szCs w:val="19"/>
                <w:shd w:val="clear" w:color="auto" w:fill="FFFFFF"/>
                <w:lang w:val="zh-CN" w:eastAsia="zh-CN"/>
              </w:rPr>
              <w:t>安全生产法》</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第二十五条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4</w:t>
            </w:r>
          </w:p>
        </w:tc>
        <w:tc>
          <w:tcPr>
            <w:tcW w:w="2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生产经营单位使用被派遣劳动者的，是否对被派遣劳动者进行岗位安全操作规程和安全操作技能的教育和培训。</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查台账、向被派遣劳动者</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核实</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w:t>
            </w:r>
            <w:r>
              <w:rPr>
                <w:rFonts w:hint="default" w:ascii="微软雅黑" w:hAnsi="微软雅黑" w:eastAsia="微软雅黑" w:cs="微软雅黑"/>
                <w:i w:val="0"/>
                <w:caps w:val="0"/>
                <w:color w:val="555555"/>
                <w:spacing w:val="0"/>
                <w:sz w:val="19"/>
                <w:szCs w:val="19"/>
                <w:shd w:val="clear" w:color="auto" w:fill="FFFFFF"/>
                <w:lang w:val="zh-CN" w:eastAsia="zh-CN"/>
              </w:rPr>
              <w:t>安全生产法》</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第二十五条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5</w:t>
            </w:r>
          </w:p>
        </w:tc>
        <w:tc>
          <w:tcPr>
            <w:tcW w:w="2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生产经营单位接收中等职业学校、高等学校学生实习的，是否对实习学生进行相应的安全生产教育和培训。</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查台账、向实习学生核实</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w:t>
            </w:r>
            <w:r>
              <w:rPr>
                <w:rFonts w:hint="default" w:ascii="微软雅黑" w:hAnsi="微软雅黑" w:eastAsia="微软雅黑" w:cs="微软雅黑"/>
                <w:i w:val="0"/>
                <w:caps w:val="0"/>
                <w:color w:val="555555"/>
                <w:spacing w:val="0"/>
                <w:sz w:val="19"/>
                <w:szCs w:val="19"/>
                <w:shd w:val="clear" w:color="auto" w:fill="FFFFFF"/>
                <w:lang w:val="zh-CN" w:eastAsia="zh-CN"/>
              </w:rPr>
              <w:t>安全生产法》</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第二十五条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6</w:t>
            </w:r>
          </w:p>
        </w:tc>
        <w:tc>
          <w:tcPr>
            <w:tcW w:w="2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生产经营单位是否建立安全生产教育和培训档案，如实记录安全生产教育和培训的时间、内容、参加人员以及考核结果等情况。</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查台账、向从业人员核实</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w:t>
            </w:r>
            <w:r>
              <w:rPr>
                <w:rFonts w:hint="default" w:ascii="微软雅黑" w:hAnsi="微软雅黑" w:eastAsia="微软雅黑" w:cs="微软雅黑"/>
                <w:i w:val="0"/>
                <w:caps w:val="0"/>
                <w:color w:val="555555"/>
                <w:spacing w:val="0"/>
                <w:sz w:val="19"/>
                <w:szCs w:val="19"/>
                <w:shd w:val="clear" w:color="auto" w:fill="FFFFFF"/>
                <w:lang w:val="zh-CN" w:eastAsia="zh-CN"/>
              </w:rPr>
              <w:t>安全生产法》</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第二十五条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09" w:type="dxa"/>
            <w:noWrap w:val="0"/>
            <w:vAlign w:val="center"/>
          </w:tcPr>
          <w:p>
            <w:pPr>
              <w:spacing w:line="594" w:lineRule="exact"/>
              <w:jc w:val="center"/>
              <w:rPr>
                <w:rFonts w:hint="eastAsia" w:ascii="仿宋_GB2312" w:hAnsi="仿宋" w:eastAsia="仿宋_GB2312" w:cs="仿宋_GB2312"/>
                <w:b/>
                <w:bCs/>
                <w:kern w:val="2"/>
                <w:sz w:val="28"/>
                <w:szCs w:val="28"/>
                <w:lang w:val="en-US" w:eastAsia="zh-CN" w:bidi="ar-SA"/>
              </w:rPr>
            </w:pPr>
            <w:r>
              <w:rPr>
                <w:rFonts w:hint="eastAsia" w:ascii="仿宋_GB2312" w:hAnsi="仿宋" w:eastAsia="仿宋_GB2312" w:cs="仿宋_GB2312"/>
                <w:b/>
                <w:bCs/>
                <w:sz w:val="28"/>
                <w:szCs w:val="28"/>
                <w:lang w:val="en-US" w:eastAsia="zh-CN"/>
              </w:rPr>
              <w:t>序号</w:t>
            </w:r>
          </w:p>
        </w:tc>
        <w:tc>
          <w:tcPr>
            <w:tcW w:w="2880" w:type="dxa"/>
            <w:gridSpan w:val="2"/>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检查项目及内容</w:t>
            </w:r>
          </w:p>
        </w:tc>
        <w:tc>
          <w:tcPr>
            <w:tcW w:w="1450" w:type="dxa"/>
            <w:gridSpan w:val="2"/>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检查方式</w:t>
            </w:r>
          </w:p>
        </w:tc>
        <w:tc>
          <w:tcPr>
            <w:tcW w:w="1755" w:type="dxa"/>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法律依据</w:t>
            </w:r>
          </w:p>
        </w:tc>
        <w:tc>
          <w:tcPr>
            <w:tcW w:w="1508" w:type="dxa"/>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7</w:t>
            </w:r>
          </w:p>
        </w:tc>
        <w:tc>
          <w:tcPr>
            <w:tcW w:w="2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生产经营单位采用新工艺、新技术、新材料或者使用新设备，是否对从业人员进行专门的安全生产教育和培训。</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查台账、向从业人员核实</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eastAsia="zh-CN"/>
              </w:rPr>
              <w:t>《</w:t>
            </w:r>
            <w:r>
              <w:rPr>
                <w:rFonts w:hint="default" w:ascii="微软雅黑" w:hAnsi="微软雅黑" w:eastAsia="微软雅黑" w:cs="微软雅黑"/>
                <w:i w:val="0"/>
                <w:caps w:val="0"/>
                <w:color w:val="555555"/>
                <w:spacing w:val="0"/>
                <w:sz w:val="19"/>
                <w:szCs w:val="19"/>
                <w:shd w:val="clear" w:color="auto" w:fill="FFFFFF"/>
                <w:lang w:val="zh-CN" w:eastAsia="zh-CN"/>
              </w:rPr>
              <w:t>安全生产法》</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第二十六条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8</w:t>
            </w:r>
          </w:p>
        </w:tc>
        <w:tc>
          <w:tcPr>
            <w:tcW w:w="2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default" w:ascii="微软雅黑" w:hAnsi="微软雅黑" w:eastAsia="微软雅黑" w:cs="微软雅黑"/>
                <w:i w:val="0"/>
                <w:caps w:val="0"/>
                <w:color w:val="555555"/>
                <w:spacing w:val="0"/>
                <w:sz w:val="19"/>
                <w:szCs w:val="19"/>
                <w:shd w:val="clear" w:color="auto" w:fill="FFFFFF"/>
                <w:lang w:val="en-US" w:eastAsia="zh-CN"/>
              </w:rPr>
              <w:t>生产经营单位新上岗的从业人员</w:t>
            </w:r>
            <w:r>
              <w:rPr>
                <w:rFonts w:hint="eastAsia" w:ascii="微软雅黑" w:hAnsi="微软雅黑" w:eastAsia="微软雅黑" w:cs="微软雅黑"/>
                <w:i w:val="0"/>
                <w:caps w:val="0"/>
                <w:color w:val="555555"/>
                <w:spacing w:val="0"/>
                <w:sz w:val="19"/>
                <w:szCs w:val="19"/>
                <w:shd w:val="clear" w:color="auto" w:fill="FFFFFF"/>
                <w:lang w:val="en-US" w:eastAsia="zh-CN"/>
              </w:rPr>
              <w:t>，</w:t>
            </w:r>
            <w:r>
              <w:rPr>
                <w:rFonts w:hint="default" w:ascii="微软雅黑" w:hAnsi="微软雅黑" w:eastAsia="微软雅黑" w:cs="微软雅黑"/>
                <w:i w:val="0"/>
                <w:caps w:val="0"/>
                <w:color w:val="555555"/>
                <w:spacing w:val="0"/>
                <w:sz w:val="19"/>
                <w:szCs w:val="19"/>
                <w:shd w:val="clear" w:color="auto" w:fill="FFFFFF"/>
                <w:lang w:val="en-US" w:eastAsia="zh-CN"/>
              </w:rPr>
              <w:t>岗前安全培训时间不得少于24学时。危险化学品、烟花爆竹、金属冶炼等生产经营单位新上岗的从业人员安全培训时间不得少于72学时，每年再培训的时间不得少于20学时。</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rPr>
              <w:t>查台账、向从业人员核实</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default"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zh-CN" w:eastAsia="zh-CN"/>
              </w:rPr>
              <w:t>生产经营单位安全培训规定</w:t>
            </w:r>
            <w:r>
              <w:rPr>
                <w:rFonts w:hint="default"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第十三条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9</w:t>
            </w:r>
          </w:p>
        </w:tc>
        <w:tc>
          <w:tcPr>
            <w:tcW w:w="2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rPr>
              <w:t>危险化学品、烟花爆竹、金属冶炼等生产经营单位必须对新上岗的临时工、合同工、劳务工、轮换工、协议工等进行强制性安全培训，保证其具备本岗位安全操作、自救互救以及应急处置所需的知识和技能后，方能安排上岗作业。</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rPr>
              <w:t>查台账、对相关人员进行现场抽考</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default"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zh-CN" w:eastAsia="zh-CN"/>
              </w:rPr>
              <w:t>生产经营单位安全培训规定</w:t>
            </w:r>
            <w:r>
              <w:rPr>
                <w:rFonts w:hint="default"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第十一条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10</w:t>
            </w:r>
          </w:p>
        </w:tc>
        <w:tc>
          <w:tcPr>
            <w:tcW w:w="2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rPr>
              <w:t>加工、制造业等生产单位的其他从业人员，在上岗前必须经过厂(矿)、车间(工段、区、队)、班组三级安全培训教育。</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rPr>
              <w:t>查台账、向从业人员核实</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default"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zh-CN" w:eastAsia="zh-CN"/>
              </w:rPr>
              <w:t>生产经营单位安全培训规定</w:t>
            </w:r>
            <w:r>
              <w:rPr>
                <w:rFonts w:hint="default"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第十二条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default"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11</w:t>
            </w:r>
          </w:p>
        </w:tc>
        <w:tc>
          <w:tcPr>
            <w:tcW w:w="2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rPr>
              <w:t>从业人员在本生产经营单位内调整工作岗位或离岗一年以上重新上岗时，应当重新接受车间(工段、区、队)和班组级的安全培训。</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rPr>
              <w:t>查台账、向从业人员核实</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default"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zh-CN" w:eastAsia="zh-CN"/>
              </w:rPr>
              <w:t>生产经营单位安全培训规定</w:t>
            </w:r>
            <w:r>
              <w:rPr>
                <w:rFonts w:hint="default"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第十七条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center"/>
          </w:tcPr>
          <w:p>
            <w:pPr>
              <w:spacing w:line="594" w:lineRule="exact"/>
              <w:jc w:val="center"/>
              <w:rPr>
                <w:rFonts w:hint="eastAsia" w:ascii="仿宋_GB2312" w:hAnsi="仿宋" w:eastAsia="仿宋_GB2312" w:cs="仿宋_GB2312"/>
                <w:b/>
                <w:bCs/>
                <w:kern w:val="2"/>
                <w:sz w:val="28"/>
                <w:szCs w:val="28"/>
                <w:lang w:val="en-US" w:eastAsia="zh-CN" w:bidi="ar-SA"/>
              </w:rPr>
            </w:pPr>
            <w:r>
              <w:rPr>
                <w:rFonts w:hint="eastAsia" w:ascii="仿宋_GB2312" w:hAnsi="仿宋" w:eastAsia="仿宋_GB2312" w:cs="仿宋_GB2312"/>
                <w:b/>
                <w:bCs/>
                <w:sz w:val="28"/>
                <w:szCs w:val="28"/>
                <w:lang w:val="en-US" w:eastAsia="zh-CN"/>
              </w:rPr>
              <w:t>序号</w:t>
            </w:r>
          </w:p>
        </w:tc>
        <w:tc>
          <w:tcPr>
            <w:tcW w:w="2880" w:type="dxa"/>
            <w:gridSpan w:val="2"/>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检查项目及内容</w:t>
            </w:r>
          </w:p>
        </w:tc>
        <w:tc>
          <w:tcPr>
            <w:tcW w:w="1450" w:type="dxa"/>
            <w:gridSpan w:val="2"/>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检查方式</w:t>
            </w:r>
          </w:p>
        </w:tc>
        <w:tc>
          <w:tcPr>
            <w:tcW w:w="1755" w:type="dxa"/>
            <w:noWrap w:val="0"/>
            <w:vAlign w:val="center"/>
          </w:tcPr>
          <w:p>
            <w:pPr>
              <w:spacing w:line="594" w:lineRule="exact"/>
              <w:jc w:val="center"/>
              <w:rPr>
                <w:rFonts w:hint="default"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法律依据</w:t>
            </w:r>
          </w:p>
        </w:tc>
        <w:tc>
          <w:tcPr>
            <w:tcW w:w="1508" w:type="dxa"/>
            <w:noWrap w:val="0"/>
            <w:vAlign w:val="center"/>
          </w:tcPr>
          <w:p>
            <w:pPr>
              <w:spacing w:line="594" w:lineRule="exact"/>
              <w:jc w:val="center"/>
              <w:rPr>
                <w:rFonts w:hint="eastAsia" w:ascii="仿宋_GB2312" w:hAnsi="仿宋" w:eastAsia="仿宋_GB2312" w:cs="仿宋_GB2312"/>
                <w:b/>
                <w:bCs/>
                <w:kern w:val="2"/>
                <w:sz w:val="28"/>
                <w:szCs w:val="28"/>
                <w:lang w:val="zh-CN" w:eastAsia="zh-CN" w:bidi="ar-SA"/>
              </w:rPr>
            </w:pPr>
            <w:r>
              <w:rPr>
                <w:rFonts w:hint="eastAsia" w:ascii="仿宋_GB2312" w:hAnsi="仿宋" w:eastAsia="仿宋_GB2312" w:cs="仿宋_GB2312"/>
                <w:b/>
                <w:bCs/>
                <w:sz w:val="28"/>
                <w:szCs w:val="28"/>
                <w:lang w:val="zh-CN"/>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09" w:type="dxa"/>
            <w:noWrap w:val="0"/>
            <w:vAlign w:val="center"/>
          </w:tcPr>
          <w:p>
            <w:pPr>
              <w:spacing w:line="594" w:lineRule="exact"/>
              <w:jc w:val="center"/>
              <w:rPr>
                <w:rFonts w:hint="eastAsia" w:ascii="仿宋_GB2312" w:hAnsi="仿宋" w:eastAsia="仿宋_GB2312" w:cs="仿宋_GB2312"/>
                <w:b/>
                <w:bCs/>
                <w:sz w:val="28"/>
                <w:szCs w:val="28"/>
                <w:lang w:val="zh-CN"/>
              </w:rPr>
            </w:pPr>
            <w:r>
              <w:rPr>
                <w:rFonts w:hint="eastAsia" w:ascii="仿宋_GB2312" w:hAnsi="仿宋" w:eastAsia="仿宋_GB2312" w:cs="仿宋_GB2312"/>
                <w:b/>
                <w:bCs/>
                <w:sz w:val="28"/>
                <w:szCs w:val="28"/>
                <w:lang w:val="zh-CN"/>
              </w:rPr>
              <w:t>三</w:t>
            </w:r>
          </w:p>
        </w:tc>
        <w:tc>
          <w:tcPr>
            <w:tcW w:w="7593" w:type="dxa"/>
            <w:gridSpan w:val="6"/>
            <w:noWrap w:val="0"/>
            <w:vAlign w:val="center"/>
          </w:tcPr>
          <w:p>
            <w:pPr>
              <w:spacing w:line="594" w:lineRule="exact"/>
              <w:jc w:val="both"/>
              <w:rPr>
                <w:rFonts w:hint="eastAsia" w:ascii="仿宋_GB2312" w:hAnsi="仿宋" w:eastAsia="仿宋_GB2312" w:cs="仿宋_GB2312"/>
                <w:b/>
                <w:bCs/>
                <w:sz w:val="28"/>
                <w:szCs w:val="28"/>
                <w:lang w:val="zh-CN"/>
              </w:rPr>
            </w:pPr>
            <w:r>
              <w:rPr>
                <w:rFonts w:hint="eastAsia" w:ascii="仿宋_GB2312" w:hAnsi="仿宋" w:eastAsia="仿宋_GB2312" w:cs="仿宋_GB2312"/>
                <w:b/>
                <w:bCs/>
                <w:sz w:val="28"/>
                <w:szCs w:val="28"/>
                <w:lang w:val="zh-CN"/>
              </w:rPr>
              <w:t>“三项岗位”人员持证上岗情况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1</w:t>
            </w:r>
          </w:p>
        </w:tc>
        <w:tc>
          <w:tcPr>
            <w:tcW w:w="28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rPr>
              <w:t>生产经营单位的主要负责人</w:t>
            </w:r>
            <w:r>
              <w:rPr>
                <w:rFonts w:hint="eastAsia" w:ascii="微软雅黑" w:hAnsi="微软雅黑" w:eastAsia="微软雅黑" w:cs="微软雅黑"/>
                <w:i w:val="0"/>
                <w:caps w:val="0"/>
                <w:color w:val="555555"/>
                <w:spacing w:val="0"/>
                <w:sz w:val="19"/>
                <w:szCs w:val="19"/>
                <w:shd w:val="clear" w:color="auto" w:fill="FFFFFF"/>
                <w:lang w:val="zh-CN" w:eastAsia="zh-CN"/>
              </w:rPr>
              <w:t>和安全生产管理人员是否接受安全培训，具备与本单位所从事的生产经营活动相应的安全生产知识和管理能力。其中，危险化学品的生产、经营、储存单位以及金属冶炼单位的主要负责人和安全生产管理人员，自任职之日起</w:t>
            </w:r>
            <w:r>
              <w:rPr>
                <w:rFonts w:hint="eastAsia" w:ascii="微软雅黑" w:hAnsi="微软雅黑" w:eastAsia="微软雅黑" w:cs="微软雅黑"/>
                <w:i w:val="0"/>
                <w:caps w:val="0"/>
                <w:color w:val="555555"/>
                <w:spacing w:val="0"/>
                <w:sz w:val="19"/>
                <w:szCs w:val="19"/>
                <w:shd w:val="clear" w:color="auto" w:fill="FFFFFF"/>
                <w:lang w:val="en-US" w:eastAsia="zh-CN"/>
              </w:rPr>
              <w:t>6个月内，</w:t>
            </w:r>
            <w:r>
              <w:rPr>
                <w:rFonts w:hint="eastAsia" w:ascii="微软雅黑" w:hAnsi="微软雅黑" w:eastAsia="微软雅黑" w:cs="微软雅黑"/>
                <w:i w:val="0"/>
                <w:caps w:val="0"/>
                <w:color w:val="555555"/>
                <w:spacing w:val="0"/>
                <w:sz w:val="19"/>
                <w:szCs w:val="19"/>
                <w:shd w:val="clear" w:color="auto" w:fill="FFFFFF"/>
                <w:lang w:val="zh-CN" w:eastAsia="zh-CN"/>
              </w:rPr>
              <w:t>是否经主管的负有安全生产监督管理职责的部门对其安全生产知识和管理能力考核合格。</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rPr>
              <w:t>查台账及高危行业企业主要负责人、安全生产管理人员安全合格证，一般工贸企业主要负责人、安全生产管理人员安全培训合格证。</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rPr>
              <w:t>《</w:t>
            </w:r>
            <w:r>
              <w:rPr>
                <w:rFonts w:hint="default" w:ascii="微软雅黑" w:hAnsi="微软雅黑" w:eastAsia="微软雅黑" w:cs="微软雅黑"/>
                <w:i w:val="0"/>
                <w:caps w:val="0"/>
                <w:color w:val="555555"/>
                <w:spacing w:val="0"/>
                <w:sz w:val="19"/>
                <w:szCs w:val="19"/>
                <w:shd w:val="clear" w:color="auto" w:fill="FFFFFF"/>
                <w:lang w:val="zh-CN"/>
              </w:rPr>
              <w:t>安全生产法》</w:t>
            </w:r>
            <w:r>
              <w:rPr>
                <w:rFonts w:hint="eastAsia" w:ascii="微软雅黑" w:hAnsi="微软雅黑" w:eastAsia="微软雅黑" w:cs="微软雅黑"/>
                <w:i w:val="0"/>
                <w:caps w:val="0"/>
                <w:color w:val="555555"/>
                <w:spacing w:val="0"/>
                <w:sz w:val="19"/>
                <w:szCs w:val="19"/>
                <w:shd w:val="clear" w:color="auto" w:fill="FFFFFF"/>
                <w:lang w:val="zh-CN" w:eastAsia="zh-CN"/>
              </w:rPr>
              <w:t>第二十四条、</w:t>
            </w:r>
            <w:r>
              <w:rPr>
                <w:rFonts w:hint="default"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zh-CN" w:eastAsia="zh-CN"/>
              </w:rPr>
              <w:t>生产经营单位安全培训规定</w:t>
            </w:r>
            <w:r>
              <w:rPr>
                <w:rFonts w:hint="default"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zh-CN" w:eastAsia="zh-CN"/>
              </w:rPr>
              <w:t>第六条、第二十四条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2</w:t>
            </w:r>
          </w:p>
        </w:tc>
        <w:tc>
          <w:tcPr>
            <w:tcW w:w="288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rPr>
              <w:t>生产经营单位的特种作业人员</w:t>
            </w:r>
            <w:r>
              <w:rPr>
                <w:rFonts w:hint="eastAsia" w:ascii="微软雅黑" w:hAnsi="微软雅黑" w:eastAsia="微软雅黑" w:cs="微软雅黑"/>
                <w:i w:val="0"/>
                <w:caps w:val="0"/>
                <w:color w:val="555555"/>
                <w:spacing w:val="0"/>
                <w:sz w:val="19"/>
                <w:szCs w:val="19"/>
                <w:shd w:val="clear" w:color="auto" w:fill="FFFFFF"/>
                <w:lang w:val="zh-CN" w:eastAsia="zh-CN"/>
              </w:rPr>
              <w:t>是否</w:t>
            </w:r>
            <w:r>
              <w:rPr>
                <w:rFonts w:hint="eastAsia" w:ascii="微软雅黑" w:hAnsi="微软雅黑" w:eastAsia="微软雅黑" w:cs="微软雅黑"/>
                <w:i w:val="0"/>
                <w:caps w:val="0"/>
                <w:color w:val="555555"/>
                <w:spacing w:val="0"/>
                <w:sz w:val="19"/>
                <w:szCs w:val="19"/>
                <w:shd w:val="clear" w:color="auto" w:fill="FFFFFF"/>
                <w:lang w:val="zh-CN"/>
              </w:rPr>
              <w:t>按照国家有关规定经专门的安全作业培训，取得相应资格，上岗作业。</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查台账及特种作业操作证。</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rPr>
              <w:t>《</w:t>
            </w:r>
            <w:r>
              <w:rPr>
                <w:rFonts w:hint="default" w:ascii="微软雅黑" w:hAnsi="微软雅黑" w:eastAsia="微软雅黑" w:cs="微软雅黑"/>
                <w:i w:val="0"/>
                <w:caps w:val="0"/>
                <w:color w:val="555555"/>
                <w:spacing w:val="0"/>
                <w:sz w:val="19"/>
                <w:szCs w:val="19"/>
                <w:shd w:val="clear" w:color="auto" w:fill="FFFFFF"/>
                <w:lang w:val="zh-CN"/>
              </w:rPr>
              <w:t>安全生产法》</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第二十七条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en-US" w:eastAsia="zh-CN"/>
              </w:rPr>
              <w:t>3</w:t>
            </w:r>
          </w:p>
        </w:tc>
        <w:tc>
          <w:tcPr>
            <w:tcW w:w="28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en-US" w:eastAsia="zh-CN"/>
              </w:rPr>
            </w:pPr>
            <w:r>
              <w:rPr>
                <w:rFonts w:hint="eastAsia" w:ascii="微软雅黑" w:hAnsi="微软雅黑" w:eastAsia="微软雅黑" w:cs="微软雅黑"/>
                <w:i w:val="0"/>
                <w:caps w:val="0"/>
                <w:color w:val="555555"/>
                <w:spacing w:val="0"/>
                <w:sz w:val="19"/>
                <w:szCs w:val="19"/>
                <w:shd w:val="clear" w:color="auto" w:fill="FFFFFF"/>
                <w:lang w:val="zh-CN"/>
              </w:rPr>
              <w:t>生产经营单位是否建立健全特种作业人员培训、复审档案</w:t>
            </w:r>
            <w:r>
              <w:rPr>
                <w:rFonts w:hint="eastAsia" w:ascii="微软雅黑" w:hAnsi="微软雅黑" w:eastAsia="微软雅黑" w:cs="微软雅黑"/>
                <w:i w:val="0"/>
                <w:caps w:val="0"/>
                <w:color w:val="555555"/>
                <w:spacing w:val="0"/>
                <w:sz w:val="19"/>
                <w:szCs w:val="19"/>
                <w:shd w:val="clear" w:color="auto" w:fill="FFFFFF"/>
                <w:lang w:val="zh-CN" w:eastAsia="zh-CN"/>
              </w:rPr>
              <w:t>。</w:t>
            </w: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rPr>
            </w:pPr>
            <w:r>
              <w:rPr>
                <w:rFonts w:hint="eastAsia" w:ascii="微软雅黑" w:hAnsi="微软雅黑" w:eastAsia="微软雅黑" w:cs="微软雅黑"/>
                <w:i w:val="0"/>
                <w:caps w:val="0"/>
                <w:color w:val="555555"/>
                <w:spacing w:val="0"/>
                <w:sz w:val="19"/>
                <w:szCs w:val="19"/>
                <w:shd w:val="clear" w:color="auto" w:fill="FFFFFF"/>
                <w:lang w:val="zh-CN" w:eastAsia="zh-CN"/>
              </w:rPr>
              <w:t>查台账</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54" w:lineRule="exact"/>
              <w:jc w:val="center"/>
              <w:textAlignment w:val="auto"/>
              <w:rPr>
                <w:rFonts w:hint="eastAsia" w:ascii="微软雅黑" w:hAnsi="微软雅黑" w:eastAsia="微软雅黑" w:cs="微软雅黑"/>
                <w:i w:val="0"/>
                <w:caps w:val="0"/>
                <w:color w:val="555555"/>
                <w:spacing w:val="0"/>
                <w:sz w:val="19"/>
                <w:szCs w:val="19"/>
                <w:shd w:val="clear" w:color="auto" w:fill="FFFFFF"/>
                <w:lang w:val="zh-CN" w:eastAsia="zh-CN"/>
              </w:rPr>
            </w:pPr>
            <w:r>
              <w:rPr>
                <w:rFonts w:hint="eastAsia"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zh-CN" w:eastAsia="zh-CN"/>
              </w:rPr>
              <w:t>特种作业人员安全技术培训考核管理规定</w:t>
            </w:r>
            <w:r>
              <w:rPr>
                <w:rFonts w:hint="default" w:ascii="微软雅黑" w:hAnsi="微软雅黑" w:eastAsia="微软雅黑" w:cs="微软雅黑"/>
                <w:i w:val="0"/>
                <w:caps w:val="0"/>
                <w:color w:val="555555"/>
                <w:spacing w:val="0"/>
                <w:sz w:val="19"/>
                <w:szCs w:val="19"/>
                <w:shd w:val="clear" w:color="auto" w:fill="FFFFFF"/>
                <w:lang w:val="zh-CN"/>
              </w:rPr>
              <w:t>》</w:t>
            </w:r>
            <w:r>
              <w:rPr>
                <w:rFonts w:hint="eastAsia" w:ascii="微软雅黑" w:hAnsi="微软雅黑" w:eastAsia="微软雅黑" w:cs="微软雅黑"/>
                <w:i w:val="0"/>
                <w:caps w:val="0"/>
                <w:color w:val="555555"/>
                <w:spacing w:val="0"/>
                <w:sz w:val="19"/>
                <w:szCs w:val="19"/>
                <w:shd w:val="clear" w:color="auto" w:fill="FFFFFF"/>
                <w:lang w:val="en-US" w:eastAsia="zh-CN"/>
              </w:rPr>
              <w:t xml:space="preserve">        </w:t>
            </w:r>
            <w:r>
              <w:rPr>
                <w:rFonts w:hint="eastAsia" w:ascii="微软雅黑" w:hAnsi="微软雅黑" w:eastAsia="微软雅黑" w:cs="微软雅黑"/>
                <w:i w:val="0"/>
                <w:caps w:val="0"/>
                <w:color w:val="555555"/>
                <w:spacing w:val="0"/>
                <w:sz w:val="19"/>
                <w:szCs w:val="19"/>
                <w:shd w:val="clear" w:color="auto" w:fill="FFFFFF"/>
                <w:lang w:val="zh-CN" w:eastAsia="zh-CN"/>
              </w:rPr>
              <w:t>第三十四条</w:t>
            </w:r>
          </w:p>
        </w:tc>
        <w:tc>
          <w:tcPr>
            <w:tcW w:w="1508" w:type="dxa"/>
            <w:noWrap w:val="0"/>
            <w:vAlign w:val="top"/>
          </w:tcPr>
          <w:p>
            <w:pPr>
              <w:keepNext w:val="0"/>
              <w:keepLines w:val="0"/>
              <w:pageBreakBefore w:val="0"/>
              <w:widowControl w:val="0"/>
              <w:kinsoku/>
              <w:wordWrap/>
              <w:overflowPunct/>
              <w:topLinePunct w:val="0"/>
              <w:autoSpaceDE/>
              <w:autoSpaceDN/>
              <w:bidi w:val="0"/>
              <w:adjustRightInd/>
              <w:snapToGrid/>
              <w:spacing w:line="354" w:lineRule="exact"/>
              <w:jc w:val="left"/>
              <w:textAlignment w:val="auto"/>
              <w:rPr>
                <w:rFonts w:hint="eastAsia" w:ascii="微软雅黑" w:hAnsi="微软雅黑" w:eastAsia="微软雅黑" w:cs="微软雅黑"/>
                <w:i w:val="0"/>
                <w:caps w:val="0"/>
                <w:color w:val="555555"/>
                <w:spacing w:val="0"/>
                <w:sz w:val="19"/>
                <w:szCs w:val="19"/>
                <w:shd w:val="clear" w:color="auto" w:fill="FFFFFF"/>
                <w:lang w:val="zh-CN"/>
              </w:rPr>
            </w:pPr>
          </w:p>
        </w:tc>
      </w:tr>
    </w:tbl>
    <w:p/>
    <w:p>
      <w:pPr>
        <w:snapToGrid w:val="0"/>
        <w:spacing w:line="300" w:lineRule="auto"/>
        <w:rPr>
          <w:rFonts w:hint="eastAsia" w:ascii="黑体" w:hAnsi="仿宋" w:eastAsia="黑体"/>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仿宋_GB2312" w:hAnsi="仿宋_GB2312" w:eastAsia="仿宋_GB2312" w:cs="仿宋_GB2312"/>
          <w:kern w:val="24"/>
          <w:sz w:val="28"/>
          <w:szCs w:val="28"/>
          <w:u w:val="none"/>
          <w:lang w:val="en-US" w:eastAsia="zh-CN"/>
        </w:rPr>
      </w:pPr>
      <w:r>
        <w:rPr>
          <w:rFonts w:hint="eastAsia" w:ascii="仿宋_GB2312" w:hAnsi="仿宋_GB2312" w:eastAsia="仿宋_GB2312" w:cs="仿宋_GB2312"/>
          <w:kern w:val="24"/>
          <w:sz w:val="28"/>
          <w:szCs w:val="28"/>
          <w:lang w:eastAsia="zh-CN"/>
        </w:rPr>
        <w:t>被检查单位现场负责人（签名）</w:t>
      </w:r>
      <w:r>
        <w:rPr>
          <w:rFonts w:hint="eastAsia" w:ascii="仿宋_GB2312" w:hAnsi="仿宋_GB2312" w:eastAsia="仿宋_GB2312" w:cs="仿宋_GB2312"/>
          <w:kern w:val="24"/>
          <w:sz w:val="28"/>
          <w:szCs w:val="28"/>
          <w:u w:val="single"/>
          <w:lang w:val="en-US" w:eastAsia="zh-CN"/>
        </w:rPr>
        <w:t xml:space="preserve">          </w:t>
      </w:r>
      <w:r>
        <w:rPr>
          <w:rFonts w:hint="eastAsia" w:ascii="仿宋_GB2312" w:hAnsi="仿宋_GB2312" w:eastAsia="仿宋_GB2312" w:cs="仿宋_GB2312"/>
          <w:kern w:val="24"/>
          <w:sz w:val="28"/>
          <w:szCs w:val="28"/>
          <w:u w:val="none"/>
          <w:lang w:val="en-US" w:eastAsia="zh-CN"/>
        </w:rPr>
        <w:t>日期</w:t>
      </w:r>
      <w:r>
        <w:rPr>
          <w:rFonts w:hint="eastAsia" w:ascii="仿宋_GB2312" w:hAnsi="仿宋_GB2312" w:eastAsia="仿宋_GB2312" w:cs="仿宋_GB2312"/>
          <w:kern w:val="24"/>
          <w:sz w:val="28"/>
          <w:szCs w:val="28"/>
          <w:u w:val="single"/>
          <w:lang w:val="en-US" w:eastAsia="zh-CN"/>
        </w:rPr>
        <w:t xml:space="preserve">                              </w:t>
      </w:r>
      <w:r>
        <w:rPr>
          <w:rFonts w:hint="eastAsia" w:ascii="仿宋_GB2312" w:hAnsi="仿宋_GB2312" w:eastAsia="仿宋_GB2312" w:cs="仿宋_GB2312"/>
          <w:kern w:val="24"/>
          <w:sz w:val="28"/>
          <w:szCs w:val="28"/>
          <w:u w:val="none"/>
          <w:lang w:val="en-US" w:eastAsia="zh-CN"/>
        </w:rPr>
        <w:t xml:space="preserve">              </w:t>
      </w:r>
      <w:r>
        <w:rPr>
          <w:rFonts w:hint="eastAsia" w:ascii="仿宋_GB2312" w:hAnsi="仿宋_GB2312" w:eastAsia="仿宋_GB2312" w:cs="仿宋_GB2312"/>
          <w:kern w:val="24"/>
          <w:sz w:val="28"/>
          <w:szCs w:val="28"/>
          <w:u w:val="single"/>
          <w:lang w:val="en-US" w:eastAsia="zh-CN"/>
        </w:rPr>
        <w:t xml:space="preserve">                                        </w:t>
      </w:r>
      <w:r>
        <w:rPr>
          <w:rFonts w:hint="eastAsia" w:ascii="仿宋_GB2312" w:hAnsi="仿宋_GB2312" w:eastAsia="仿宋_GB2312" w:cs="仿宋_GB2312"/>
          <w:color w:val="000000"/>
          <w:kern w:val="24"/>
          <w:sz w:val="28"/>
          <w:szCs w:val="28"/>
          <w:u w:val="single"/>
          <w:lang w:val="en-US" w:eastAsia="zh-CN"/>
        </w:rPr>
        <w:t xml:space="preserve"> </w:t>
      </w:r>
      <w:r>
        <w:rPr>
          <w:rFonts w:hint="eastAsia" w:ascii="仿宋_GB2312" w:hAnsi="仿宋_GB2312" w:eastAsia="仿宋_GB2312" w:cs="仿宋_GB2312"/>
          <w:kern w:val="24"/>
          <w:sz w:val="28"/>
          <w:szCs w:val="28"/>
          <w:u w:val="single"/>
          <w:lang w:val="en-US" w:eastAsia="zh-CN"/>
        </w:rPr>
        <w:t xml:space="preserve">                   </w:t>
      </w:r>
      <w:r>
        <w:rPr>
          <w:rFonts w:hint="eastAsia" w:ascii="仿宋_GB2312" w:hAnsi="仿宋_GB2312" w:eastAsia="仿宋_GB2312" w:cs="仿宋_GB2312"/>
          <w:kern w:val="24"/>
          <w:sz w:val="28"/>
          <w:szCs w:val="28"/>
          <w:u w:val="none"/>
          <w:lang w:val="en-US" w:eastAsia="zh-CN"/>
        </w:rPr>
        <w:t xml:space="preserve">                            </w:t>
      </w:r>
      <w:r>
        <w:rPr>
          <w:rFonts w:hint="eastAsia" w:ascii="仿宋_GB2312" w:hAnsi="仿宋_GB2312" w:eastAsia="仿宋_GB2312" w:cs="仿宋_GB2312"/>
          <w:kern w:val="24"/>
          <w:sz w:val="28"/>
          <w:szCs w:val="28"/>
          <w:u w:val="single"/>
          <w:lang w:val="en-US" w:eastAsia="zh-CN"/>
        </w:rPr>
        <w:t xml:space="preserve">    </w:t>
      </w:r>
    </w:p>
    <w:p>
      <w:pPr>
        <w:spacing w:line="594" w:lineRule="exact"/>
        <w:rPr>
          <w:rFonts w:hint="eastAsia" w:ascii="仿宋_GB2312" w:hAnsi="仿宋_GB2312" w:eastAsia="仿宋_GB2312" w:cs="仿宋_GB2312"/>
          <w:kern w:val="24"/>
          <w:sz w:val="28"/>
          <w:szCs w:val="28"/>
          <w:u w:val="none"/>
          <w:lang w:val="en-US" w:eastAsia="zh-CN"/>
        </w:rPr>
      </w:pPr>
    </w:p>
    <w:p>
      <w:r>
        <w:rPr>
          <w:rFonts w:hint="eastAsia" w:ascii="仿宋_GB2312" w:hAnsi="仿宋_GB2312" w:eastAsia="仿宋_GB2312" w:cs="仿宋_GB2312"/>
          <w:kern w:val="24"/>
          <w:sz w:val="28"/>
          <w:szCs w:val="28"/>
          <w:u w:val="none"/>
          <w:lang w:val="en-US" w:eastAsia="zh-CN"/>
        </w:rPr>
        <w:t xml:space="preserve">检查人员（签名） </w:t>
      </w:r>
      <w:r>
        <w:rPr>
          <w:rFonts w:hint="eastAsia" w:ascii="仿宋_GB2312" w:hAnsi="仿宋_GB2312" w:eastAsia="仿宋_GB2312" w:cs="仿宋_GB2312"/>
          <w:kern w:val="24"/>
          <w:sz w:val="28"/>
          <w:szCs w:val="28"/>
          <w:u w:val="single"/>
          <w:lang w:val="en-US" w:eastAsia="zh-CN"/>
        </w:rPr>
        <w:t xml:space="preserve">                                            </w:t>
      </w:r>
      <w:r>
        <w:rPr>
          <w:rFonts w:hint="eastAsia" w:ascii="仿宋_GB2312" w:hAnsi="仿宋_GB2312" w:eastAsia="仿宋_GB2312" w:cs="仿宋_GB2312"/>
          <w:kern w:val="24"/>
          <w:sz w:val="28"/>
          <w:szCs w:val="28"/>
          <w:u w:val="none"/>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B4C7D"/>
    <w:rsid w:val="5EEB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2020-03-27T03:46:00Z</dcterms:created>
  <dc:creator>小解</dc:creator>
  <cp:lastModifiedBy>小解</cp:lastModifiedBy>
  <dcterms:modified xsi:type="dcterms:W3CDTF">2020-03-27T03:48:24Z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