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关于《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盐城市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  <w:lang w:eastAsia="zh-CN"/>
        </w:rPr>
        <w:t>大丰区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重大行政决策事项目录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</w:rPr>
        <w:t>管理</w:t>
      </w:r>
      <w:r>
        <w:rPr>
          <w:rFonts w:hint="eastAsia" w:ascii="方正小标宋简体" w:hAnsi="方正小标宋简体" w:eastAsia="方正小标宋简体" w:cs="方正小标宋简体"/>
          <w:spacing w:val="3"/>
          <w:sz w:val="44"/>
          <w:szCs w:val="44"/>
          <w:lang w:eastAsia="zh-CN"/>
        </w:rPr>
        <w:t>办法</w:t>
      </w:r>
      <w:r>
        <w:rPr>
          <w:rFonts w:hint="eastAsia" w:ascii="方正小标宋简体" w:hAnsi="方正小标宋简体" w:eastAsia="方正小标宋简体" w:cs="方正小标宋简体"/>
          <w:kern w:val="44"/>
          <w:sz w:val="44"/>
          <w:szCs w:val="44"/>
        </w:rPr>
        <w:t>》起草说明</w:t>
      </w:r>
    </w:p>
    <w:p>
      <w:pPr>
        <w:tabs>
          <w:tab w:val="left" w:pos="1128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32"/>
          <w:sz w:val="32"/>
          <w:szCs w:val="32"/>
        </w:rPr>
      </w:pPr>
    </w:p>
    <w:p>
      <w:pPr>
        <w:spacing w:line="580" w:lineRule="exact"/>
        <w:ind w:firstLine="64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《盐城市人民政府重大行政决策事项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目录管理规定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，加强重大行政决策事项目录管理，根据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《重大行政决策程序暂行条例》《江苏省行政程序条例》《江苏省重大行政决策程序实施办法》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江苏省人民政府重大行政决策事项目录管理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办法》和《盐城市人民政府重大行政决策事项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目录管理规定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》以下简称（《规定》）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等有关要求，我局起草了《盐城市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大丰区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重大行政决策事项目录管理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》以下简称（《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》）。现将相关情况说明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如下：</w:t>
      </w:r>
    </w:p>
    <w:p>
      <w:pPr>
        <w:tabs>
          <w:tab w:val="left" w:pos="1128"/>
        </w:tabs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32"/>
          <w:sz w:val="32"/>
          <w:szCs w:val="32"/>
        </w:rPr>
        <w:t>一、起草工作情况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政府办公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室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印发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《规定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》，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为贯彻落实《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》，加强重大行政决策事项目录管理，根据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《重大行政决策程序暂行条例》《江苏省行政程序条例》《江苏省重大行政决策程序实施办法》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江苏省人民政府重大行政决策事项目录管理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办法》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》等有关要求，我局起草了《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2024年3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我局就《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》向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各镇人民政府</w:t>
      </w:r>
      <w:r>
        <w:rPr>
          <w:rFonts w:hint="eastAsia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各街道办事处</w:t>
      </w:r>
      <w:r>
        <w:rPr>
          <w:rFonts w:hint="eastAsia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各区(园)管委会</w:t>
      </w:r>
      <w:r>
        <w:rPr>
          <w:rFonts w:hint="eastAsia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</w:rPr>
        <w:t>区各委局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pacing w:val="0"/>
          <w:position w:val="0"/>
          <w:sz w:val="32"/>
          <w:szCs w:val="32"/>
          <w:lang w:eastAsia="zh-CN"/>
        </w:rPr>
        <w:t>区各直属单位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征求意见，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目前尚在征求意见阶段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。</w:t>
      </w:r>
    </w:p>
    <w:p>
      <w:pPr>
        <w:tabs>
          <w:tab w:val="left" w:pos="1128"/>
        </w:tabs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32"/>
          <w:sz w:val="32"/>
          <w:szCs w:val="32"/>
        </w:rPr>
        <w:t>二、《</w:t>
      </w:r>
      <w:r>
        <w:rPr>
          <w:rFonts w:hint="eastAsia" w:ascii="Times New Roman" w:hAnsi="Times New Roman" w:eastAsia="黑体" w:cs="Times New Roman"/>
          <w:kern w:val="32"/>
          <w:sz w:val="32"/>
          <w:szCs w:val="32"/>
          <w:lang w:eastAsia="zh-CN"/>
        </w:rPr>
        <w:t>办法</w:t>
      </w:r>
      <w:bookmarkStart w:id="0" w:name="_GoBack"/>
      <w:bookmarkEnd w:id="0"/>
      <w:r>
        <w:rPr>
          <w:rFonts w:hint="default" w:ascii="Times New Roman" w:hAnsi="Times New Roman" w:eastAsia="黑体" w:cs="Times New Roman"/>
          <w:kern w:val="32"/>
          <w:sz w:val="32"/>
          <w:szCs w:val="32"/>
        </w:rPr>
        <w:t>》主要内容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32"/>
          <w:sz w:val="32"/>
          <w:szCs w:val="32"/>
        </w:rPr>
        <w:t>（一）规定目录事项范围。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依据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国务院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《重大行政决策程序暂行条例》第三条和《江苏省重大行政决策程序实施办法》第三条确定重大行政决策事项范围。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32"/>
          <w:sz w:val="32"/>
          <w:szCs w:val="32"/>
        </w:rPr>
        <w:t>（二）健全目录管理体系。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主要对相关部门工作职责予以明确。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政府办公室和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司法局负责组织制定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人民政府重大行政决策事项目录。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有关部门按照各自职责配合做好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人民政府重大行政决策事项目录制定工作。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32"/>
          <w:sz w:val="32"/>
          <w:szCs w:val="32"/>
        </w:rPr>
        <w:t>（三）完善目录制定程序。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主要对目录征集、审查、调整和公布等程序进行完善，保证目录依法、依规。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32"/>
          <w:sz w:val="32"/>
          <w:szCs w:val="32"/>
        </w:rPr>
        <w:t>（四）加强制度保障。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为了使《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》得到贯彻落实，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明确了督查考核规定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，将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重大行政决策目录制定及公布情况作为法治建设考核的内容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。</w:t>
      </w:r>
    </w:p>
    <w:p>
      <w:pPr>
        <w:tabs>
          <w:tab w:val="left" w:pos="1128"/>
        </w:tabs>
        <w:spacing w:line="580" w:lineRule="exact"/>
        <w:ind w:firstLine="640" w:firstLineChars="200"/>
        <w:rPr>
          <w:rFonts w:hint="default" w:ascii="Times New Roman" w:hAnsi="Times New Roman" w:eastAsia="黑体" w:cs="Times New Roman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32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kern w:val="32"/>
          <w:sz w:val="32"/>
          <w:szCs w:val="32"/>
        </w:rPr>
        <w:t>、积极做好重大行政决策事项目录相关工作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kern w:val="3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  <w:lang w:eastAsia="zh-CN"/>
        </w:rPr>
        <w:t>办法</w:t>
      </w:r>
      <w:r>
        <w:rPr>
          <w:rFonts w:hint="default" w:ascii="Times New Roman" w:hAnsi="Times New Roman" w:eastAsia="仿宋_GB2312" w:cs="Times New Roman"/>
          <w:kern w:val="32"/>
          <w:sz w:val="32"/>
          <w:szCs w:val="32"/>
        </w:rPr>
        <w:t>》公布实施后，我局将根据重大行政决策事项目录管理的相关要求，积极做好重大行政决策事项目录征集、管理等相关工作，会同发展改革、财政等有关部门依法审查决策事项目录，确保重大行政决策事项目录依法、依规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7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32"/>
        <w:szCs w:val="40"/>
      </w:rPr>
    </w:pPr>
    <w:r>
      <w:rPr>
        <w:rFonts w:ascii="Times New Roman" w:hAnsi="Times New Roman" w:cs="Times New Roman"/>
        <w:sz w:val="32"/>
        <w:szCs w:val="40"/>
      </w:rPr>
      <w:t xml:space="preserve">— </w:t>
    </w:r>
    <w:sdt>
      <w:sdtPr>
        <w:rPr>
          <w:rFonts w:ascii="Times New Roman" w:hAnsi="Times New Roman" w:cs="Times New Roman"/>
          <w:sz w:val="32"/>
          <w:szCs w:val="40"/>
        </w:rPr>
        <w:id w:val="-728681643"/>
        <w:docPartObj>
          <w:docPartGallery w:val="autotext"/>
        </w:docPartObj>
      </w:sdtPr>
      <w:sdtEndPr>
        <w:rPr>
          <w:rFonts w:ascii="Times New Roman" w:hAnsi="Times New Roman" w:cs="Times New Roman"/>
          <w:sz w:val="32"/>
          <w:szCs w:val="40"/>
        </w:rPr>
      </w:sdtEndPr>
      <w:sdtContent>
        <w:r>
          <w:rPr>
            <w:rFonts w:ascii="Times New Roman" w:hAnsi="Times New Roman" w:cs="Times New Roman"/>
            <w:sz w:val="32"/>
            <w:szCs w:val="40"/>
          </w:rPr>
          <w:fldChar w:fldCharType="begin"/>
        </w:r>
        <w:r>
          <w:rPr>
            <w:rFonts w:ascii="Times New Roman" w:hAnsi="Times New Roman" w:cs="Times New Roman"/>
            <w:sz w:val="32"/>
            <w:szCs w:val="40"/>
          </w:rPr>
          <w:instrText xml:space="preserve">PAGE   \* MERGEFORMAT</w:instrText>
        </w:r>
        <w:r>
          <w:rPr>
            <w:rFonts w:ascii="Times New Roman" w:hAnsi="Times New Roman" w:cs="Times New Roman"/>
            <w:sz w:val="32"/>
            <w:szCs w:val="40"/>
          </w:rPr>
          <w:fldChar w:fldCharType="separate"/>
        </w:r>
        <w:r>
          <w:rPr>
            <w:rFonts w:ascii="Times New Roman" w:hAnsi="Times New Roman" w:cs="Times New Roman"/>
            <w:sz w:val="32"/>
            <w:szCs w:val="40"/>
            <w:lang w:val="zh-CN"/>
          </w:rPr>
          <w:t>2</w:t>
        </w:r>
        <w:r>
          <w:rPr>
            <w:rFonts w:ascii="Times New Roman" w:hAnsi="Times New Roman" w:cs="Times New Roman"/>
            <w:sz w:val="32"/>
            <w:szCs w:val="40"/>
          </w:rPr>
          <w:fldChar w:fldCharType="end"/>
        </w:r>
        <w:r>
          <w:rPr>
            <w:rFonts w:ascii="Times New Roman" w:hAnsi="Times New Roman" w:cs="Times New Roman"/>
            <w:sz w:val="32"/>
            <w:szCs w:val="40"/>
          </w:rPr>
          <w:t xml:space="preserve"> —</w:t>
        </w:r>
      </w:sdtContent>
    </w:sdt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ZTQ0MjQ1ZWNiYjUwNjBhNDNjYTc0NTYwMGU4NWQifQ=="/>
  </w:docVars>
  <w:rsids>
    <w:rsidRoot w:val="5CD07BE7"/>
    <w:rsid w:val="24150BCD"/>
    <w:rsid w:val="2D1E0AC5"/>
    <w:rsid w:val="49364E2B"/>
    <w:rsid w:val="5CD07BE7"/>
    <w:rsid w:val="78252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2024-03-06T09:12:00Z</dcterms:created>
  <dc:creator>刘兵</dc:creator>
  <cp:lastModifiedBy>郁东升</cp:lastModifiedBy>
  <dcterms:modified xsi:type="dcterms:W3CDTF">2024-03-06T09:43:44Z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EF6D110006D04C12BC80F72FC3488E19_11</vt:lpwstr>
  </property>
</Properties>
</file>